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4306F5">
      <w:pPr>
        <w:keepNext w:val="0"/>
        <w:keepLines w:val="0"/>
        <w:pageBreakBefore w:val="0"/>
        <w:kinsoku/>
        <w:wordWrap/>
        <w:overflowPunct/>
        <w:topLinePunct w:val="0"/>
        <w:bidi w:val="0"/>
        <w:spacing w:line="600" w:lineRule="exact"/>
        <w:ind w:left="0" w:leftChars="0" w:firstLine="0" w:firstLineChars="0"/>
        <w:jc w:val="both"/>
        <w:rPr>
          <w:rFonts w:hint="default" w:ascii="Times New Roman" w:hAnsi="Times New Roman" w:eastAsia="方正小标宋简体" w:cs="Times New Roman"/>
          <w:b w:val="0"/>
          <w:bCs/>
          <w:snapToGrid/>
          <w:color w:val="auto"/>
          <w:kern w:val="2"/>
          <w:sz w:val="44"/>
          <w:szCs w:val="44"/>
          <w:highlight w:val="none"/>
          <w:lang w:val="en-US" w:eastAsia="zh-CN" w:bidi="ar-SA"/>
        </w:rPr>
      </w:pPr>
      <w:bookmarkStart w:id="3" w:name="_GoBack"/>
      <w:bookmarkEnd w:id="3"/>
    </w:p>
    <w:p w14:paraId="5A05E0D3">
      <w:pPr>
        <w:keepNext w:val="0"/>
        <w:keepLines w:val="0"/>
        <w:pageBreakBefore w:val="0"/>
        <w:widowControl w:val="0"/>
        <w:tabs>
          <w:tab w:val="left" w:pos="8400"/>
        </w:tabs>
        <w:kinsoku/>
        <w:wordWrap/>
        <w:overflowPunct/>
        <w:topLinePunct w:val="0"/>
        <w:autoSpaceDE/>
        <w:autoSpaceDN/>
        <w:bidi w:val="0"/>
        <w:adjustRightInd w:val="0"/>
        <w:snapToGrid w:val="0"/>
        <w:spacing w:beforeAutospacing="0" w:line="600" w:lineRule="exact"/>
        <w:ind w:right="0" w:rightChars="0" w:firstLine="0" w:firstLineChars="0"/>
        <w:jc w:val="center"/>
        <w:textAlignment w:val="auto"/>
        <w:rPr>
          <w:rFonts w:hint="default" w:ascii="Times New Roman" w:hAnsi="Times New Roman" w:eastAsia="方正小标宋简体" w:cs="Times New Roman"/>
          <w:b w:val="0"/>
          <w:bCs/>
          <w:snapToGrid/>
          <w:color w:val="auto"/>
          <w:kern w:val="2"/>
          <w:sz w:val="44"/>
          <w:szCs w:val="44"/>
          <w:highlight w:val="none"/>
          <w:lang w:val="en-US" w:eastAsia="zh-CN" w:bidi="ar-SA"/>
        </w:rPr>
      </w:pPr>
      <w:r>
        <w:rPr>
          <w:rFonts w:hint="default" w:ascii="Times New Roman" w:hAnsi="Times New Roman" w:eastAsia="方正小标宋简体" w:cs="Times New Roman"/>
          <w:b w:val="0"/>
          <w:bCs/>
          <w:snapToGrid/>
          <w:color w:val="auto"/>
          <w:kern w:val="2"/>
          <w:sz w:val="44"/>
          <w:szCs w:val="44"/>
          <w:highlight w:val="none"/>
          <w:lang w:val="en-US" w:eastAsia="zh-CN" w:bidi="ar-SA"/>
        </w:rPr>
        <w:t>湖南省新材料产业高级职称专场</w:t>
      </w:r>
    </w:p>
    <w:p w14:paraId="0B4F4E5D">
      <w:pPr>
        <w:keepNext w:val="0"/>
        <w:keepLines w:val="0"/>
        <w:pageBreakBefore w:val="0"/>
        <w:widowControl w:val="0"/>
        <w:tabs>
          <w:tab w:val="left" w:pos="8400"/>
        </w:tabs>
        <w:kinsoku/>
        <w:wordWrap/>
        <w:overflowPunct/>
        <w:topLinePunct w:val="0"/>
        <w:autoSpaceDE/>
        <w:autoSpaceDN/>
        <w:bidi w:val="0"/>
        <w:adjustRightInd w:val="0"/>
        <w:snapToGrid w:val="0"/>
        <w:spacing w:beforeAutospacing="0" w:line="600" w:lineRule="exact"/>
        <w:ind w:right="0" w:rightChars="0" w:firstLine="0" w:firstLineChars="0"/>
        <w:jc w:val="center"/>
        <w:textAlignment w:val="auto"/>
        <w:rPr>
          <w:rFonts w:hint="default" w:ascii="Times New Roman" w:hAnsi="Times New Roman" w:eastAsia="方正小标宋简体" w:cs="Times New Roman"/>
          <w:b w:val="0"/>
          <w:bCs/>
          <w:snapToGrid/>
          <w:color w:val="auto"/>
          <w:kern w:val="2"/>
          <w:sz w:val="44"/>
          <w:szCs w:val="44"/>
          <w:highlight w:val="none"/>
          <w:lang w:val="en-US" w:eastAsia="zh-CN" w:bidi="ar-SA"/>
        </w:rPr>
      </w:pPr>
      <w:r>
        <w:rPr>
          <w:rFonts w:hint="default" w:ascii="Times New Roman" w:hAnsi="Times New Roman" w:eastAsia="方正小标宋简体" w:cs="Times New Roman"/>
          <w:b w:val="0"/>
          <w:bCs/>
          <w:snapToGrid/>
          <w:color w:val="auto"/>
          <w:kern w:val="2"/>
          <w:sz w:val="44"/>
          <w:szCs w:val="44"/>
          <w:highlight w:val="none"/>
          <w:lang w:val="en-US" w:eastAsia="zh-CN" w:bidi="ar-SA"/>
        </w:rPr>
        <w:t>评审申报评价办法（试行）</w:t>
      </w:r>
    </w:p>
    <w:p w14:paraId="698B75A1">
      <w:pPr>
        <w:keepNext w:val="0"/>
        <w:keepLines w:val="0"/>
        <w:pageBreakBefore w:val="0"/>
        <w:widowControl w:val="0"/>
        <w:tabs>
          <w:tab w:val="left" w:pos="8400"/>
        </w:tabs>
        <w:kinsoku/>
        <w:wordWrap/>
        <w:overflowPunct/>
        <w:topLinePunct w:val="0"/>
        <w:autoSpaceDE/>
        <w:autoSpaceDN/>
        <w:bidi w:val="0"/>
        <w:adjustRightInd w:val="0"/>
        <w:snapToGrid w:val="0"/>
        <w:spacing w:beforeAutospacing="0" w:line="600" w:lineRule="exact"/>
        <w:ind w:right="0" w:rightChars="0" w:firstLine="0" w:firstLineChars="0"/>
        <w:jc w:val="center"/>
        <w:textAlignment w:val="auto"/>
        <w:rPr>
          <w:rFonts w:hint="default" w:ascii="Times New Roman" w:hAnsi="Times New Roman" w:eastAsia="方正小标宋简体" w:cs="Times New Roman"/>
          <w:b w:val="0"/>
          <w:bCs/>
          <w:snapToGrid/>
          <w:color w:val="auto"/>
          <w:kern w:val="2"/>
          <w:sz w:val="44"/>
          <w:szCs w:val="44"/>
          <w:highlight w:val="none"/>
          <w:lang w:val="en-US" w:eastAsia="zh-CN" w:bidi="ar-SA"/>
        </w:rPr>
      </w:pPr>
    </w:p>
    <w:p w14:paraId="34F1A659">
      <w:pPr>
        <w:keepNext w:val="0"/>
        <w:keepLines w:val="0"/>
        <w:pageBreakBefore w:val="0"/>
        <w:widowControl w:val="0"/>
        <w:tabs>
          <w:tab w:val="left" w:pos="8820"/>
        </w:tabs>
        <w:kinsoku/>
        <w:wordWrap/>
        <w:overflowPunct/>
        <w:topLinePunct w:val="0"/>
        <w:autoSpaceDE/>
        <w:autoSpaceDN/>
        <w:bidi w:val="0"/>
        <w:adjustRightInd w:val="0"/>
        <w:snapToGrid w:val="0"/>
        <w:spacing w:beforeAutospacing="0" w:line="600" w:lineRule="exact"/>
        <w:ind w:right="0" w:rightChars="0" w:firstLine="643" w:firstLineChars="200"/>
        <w:jc w:val="center"/>
        <w:textAlignment w:val="auto"/>
        <w:rPr>
          <w:rFonts w:hint="default" w:ascii="Times New Roman" w:hAnsi="Times New Roman" w:eastAsia="黑体" w:cs="Times New Roman"/>
          <w:b/>
          <w:bCs w:val="0"/>
          <w:snapToGrid/>
          <w:color w:val="auto"/>
          <w:kern w:val="0"/>
          <w:sz w:val="32"/>
          <w:szCs w:val="32"/>
          <w:highlight w:val="none"/>
          <w:lang w:val="en-US" w:eastAsia="zh-CN" w:bidi="ar-SA"/>
        </w:rPr>
      </w:pPr>
      <w:r>
        <w:rPr>
          <w:rFonts w:hint="default" w:ascii="Times New Roman" w:hAnsi="Times New Roman" w:eastAsia="黑体" w:cs="Times New Roman"/>
          <w:b/>
          <w:bCs w:val="0"/>
          <w:snapToGrid/>
          <w:color w:val="auto"/>
          <w:kern w:val="0"/>
          <w:sz w:val="32"/>
          <w:szCs w:val="32"/>
          <w:highlight w:val="none"/>
          <w:lang w:val="en-US" w:eastAsia="zh-CN" w:bidi="ar-SA"/>
        </w:rPr>
        <w:t>第一章  总则</w:t>
      </w:r>
    </w:p>
    <w:p w14:paraId="55CCCB96">
      <w:pPr>
        <w:keepNext w:val="0"/>
        <w:keepLines w:val="0"/>
        <w:pageBreakBefore w:val="0"/>
        <w:widowControl w:val="0"/>
        <w:tabs>
          <w:tab w:val="left" w:pos="8820"/>
        </w:tabs>
        <w:kinsoku/>
        <w:wordWrap/>
        <w:overflowPunct/>
        <w:topLinePunct w:val="0"/>
        <w:autoSpaceDE w:val="0"/>
        <w:autoSpaceDN w:val="0"/>
        <w:bidi w:val="0"/>
        <w:adjustRightInd w:val="0"/>
        <w:snapToGrid w:val="0"/>
        <w:spacing w:beforeAutospacing="0" w:line="600" w:lineRule="exact"/>
        <w:ind w:left="0" w:leftChars="0" w:right="0" w:rightChars="0" w:firstLine="643" w:firstLineChars="200"/>
        <w:jc w:val="both"/>
        <w:textAlignment w:val="baseline"/>
        <w:rPr>
          <w:rFonts w:hint="eastAsia" w:ascii="仿宋_GB2312" w:hAnsi="仿宋_GB2312" w:eastAsia="仿宋_GB2312" w:cs="仿宋_GB2312"/>
          <w:snapToGrid w:val="0"/>
          <w:color w:val="auto"/>
          <w:w w:val="98"/>
          <w:kern w:val="0"/>
          <w:sz w:val="32"/>
          <w:szCs w:val="32"/>
          <w:highlight w:val="none"/>
        </w:rPr>
      </w:pPr>
      <w:r>
        <w:rPr>
          <w:rFonts w:hint="eastAsia" w:ascii="仿宋_GB2312" w:hAnsi="仿宋_GB2312" w:eastAsia="仿宋_GB2312" w:cs="仿宋_GB2312"/>
          <w:b/>
          <w:snapToGrid/>
          <w:color w:val="auto"/>
          <w:kern w:val="0"/>
          <w:sz w:val="32"/>
          <w:szCs w:val="32"/>
          <w:highlight w:val="none"/>
          <w:lang w:val="en-US" w:eastAsia="zh-CN" w:bidi="ar-SA"/>
        </w:rPr>
        <w:t>第一条</w:t>
      </w:r>
      <w:r>
        <w:rPr>
          <w:rFonts w:hint="eastAsia" w:ascii="仿宋_GB2312" w:hAnsi="仿宋_GB2312" w:eastAsia="仿宋_GB2312" w:cs="仿宋_GB2312"/>
          <w:b/>
          <w:snapToGrid w:val="0"/>
          <w:color w:val="auto"/>
          <w:w w:val="98"/>
          <w:kern w:val="0"/>
          <w:sz w:val="32"/>
          <w:szCs w:val="32"/>
          <w:highlight w:val="none"/>
        </w:rPr>
        <w:t xml:space="preserve"> </w:t>
      </w:r>
      <w:r>
        <w:rPr>
          <w:rFonts w:hint="eastAsia" w:ascii="仿宋_GB2312" w:hAnsi="仿宋_GB2312" w:eastAsia="仿宋_GB2312" w:cs="仿宋_GB2312"/>
          <w:snapToGrid w:val="0"/>
          <w:color w:val="auto"/>
          <w:w w:val="98"/>
          <w:kern w:val="0"/>
          <w:sz w:val="32"/>
          <w:szCs w:val="32"/>
          <w:highlight w:val="none"/>
        </w:rPr>
        <w:t>为全面贯彻落实《职称评审管理暂行规定》（人力资源社会保障部令第40号）、《关于进一步做好民营企业职称工作的通知》（人社厅发〔2020〕13号）</w:t>
      </w:r>
      <w:r>
        <w:rPr>
          <w:rFonts w:hint="eastAsia" w:ascii="仿宋_GB2312" w:hAnsi="仿宋_GB2312" w:eastAsia="仿宋_GB2312" w:cs="仿宋_GB2312"/>
          <w:snapToGrid w:val="0"/>
          <w:color w:val="auto"/>
          <w:w w:val="98"/>
          <w:kern w:val="0"/>
          <w:sz w:val="32"/>
          <w:szCs w:val="32"/>
          <w:highlight w:val="none"/>
          <w:lang w:eastAsia="zh-CN"/>
        </w:rPr>
        <w:t>、</w:t>
      </w:r>
      <w:r>
        <w:rPr>
          <w:rFonts w:hint="eastAsia" w:ascii="仿宋_GB2312" w:hAnsi="仿宋_GB2312" w:eastAsia="仿宋_GB2312" w:cs="仿宋_GB2312"/>
          <w:snapToGrid w:val="0"/>
          <w:color w:val="auto"/>
          <w:w w:val="98"/>
          <w:kern w:val="0"/>
          <w:sz w:val="32"/>
          <w:szCs w:val="32"/>
          <w:highlight w:val="none"/>
        </w:rPr>
        <w:t>《人力资源社会保障部办公厅关于进一步做好职称评审工作的通知》</w:t>
      </w:r>
      <w:r>
        <w:rPr>
          <w:rFonts w:hint="eastAsia" w:ascii="仿宋_GB2312" w:hAnsi="仿宋_GB2312" w:eastAsia="仿宋_GB2312" w:cs="仿宋_GB2312"/>
          <w:snapToGrid w:val="0"/>
          <w:color w:val="auto"/>
          <w:w w:val="98"/>
          <w:kern w:val="0"/>
          <w:sz w:val="32"/>
          <w:szCs w:val="32"/>
          <w:highlight w:val="none"/>
          <w:lang w:eastAsia="zh-CN"/>
        </w:rPr>
        <w:t>（</w:t>
      </w:r>
      <w:r>
        <w:rPr>
          <w:rFonts w:hint="eastAsia" w:ascii="仿宋_GB2312" w:hAnsi="仿宋_GB2312" w:eastAsia="仿宋_GB2312" w:cs="仿宋_GB2312"/>
          <w:snapToGrid w:val="0"/>
          <w:color w:val="auto"/>
          <w:w w:val="98"/>
          <w:kern w:val="0"/>
          <w:sz w:val="32"/>
          <w:szCs w:val="32"/>
          <w:highlight w:val="none"/>
        </w:rPr>
        <w:t>人社厅发〔2022〕60号</w:t>
      </w:r>
      <w:r>
        <w:rPr>
          <w:rFonts w:hint="eastAsia" w:ascii="仿宋_GB2312" w:hAnsi="仿宋_GB2312" w:eastAsia="仿宋_GB2312" w:cs="仿宋_GB2312"/>
          <w:snapToGrid w:val="0"/>
          <w:color w:val="auto"/>
          <w:w w:val="98"/>
          <w:kern w:val="0"/>
          <w:sz w:val="32"/>
          <w:szCs w:val="32"/>
          <w:highlight w:val="none"/>
          <w:lang w:eastAsia="zh-CN"/>
        </w:rPr>
        <w:t>）、</w:t>
      </w:r>
      <w:r>
        <w:rPr>
          <w:rFonts w:hint="eastAsia" w:ascii="仿宋_GB2312" w:hAnsi="仿宋_GB2312" w:eastAsia="仿宋_GB2312" w:cs="仿宋_GB2312"/>
          <w:snapToGrid w:val="0"/>
          <w:color w:val="auto"/>
          <w:w w:val="98"/>
          <w:kern w:val="0"/>
          <w:sz w:val="32"/>
          <w:szCs w:val="32"/>
          <w:highlight w:val="none"/>
          <w:lang w:val="en-US" w:eastAsia="zh-CN"/>
        </w:rPr>
        <w:t>《湖南省人力资源和社会保障厅印发的〈湖南省2026年“湘产专场”产业人才高级职称评审工作方案〉的通知》（湘人社办发〔2026〕19号）等文件要求，</w:t>
      </w:r>
      <w:r>
        <w:rPr>
          <w:rFonts w:hint="eastAsia" w:ascii="仿宋_GB2312" w:hAnsi="仿宋_GB2312" w:eastAsia="仿宋_GB2312" w:cs="仿宋_GB2312"/>
          <w:snapToGrid w:val="0"/>
          <w:color w:val="auto"/>
          <w:w w:val="98"/>
          <w:kern w:val="0"/>
          <w:sz w:val="32"/>
          <w:szCs w:val="32"/>
          <w:highlight w:val="none"/>
          <w:lang w:eastAsia="zh-CN"/>
        </w:rPr>
        <w:t>促进</w:t>
      </w:r>
      <w:r>
        <w:rPr>
          <w:rFonts w:hint="eastAsia" w:ascii="仿宋_GB2312" w:hAnsi="仿宋_GB2312" w:eastAsia="仿宋_GB2312" w:cs="仿宋_GB2312"/>
          <w:snapToGrid w:val="0"/>
          <w:color w:val="auto"/>
          <w:w w:val="98"/>
          <w:kern w:val="0"/>
          <w:sz w:val="32"/>
          <w:szCs w:val="32"/>
          <w:highlight w:val="none"/>
          <w:lang w:val="en-US" w:eastAsia="zh-CN"/>
        </w:rPr>
        <w:t>新材料产业</w:t>
      </w:r>
      <w:r>
        <w:rPr>
          <w:rFonts w:hint="eastAsia" w:ascii="仿宋_GB2312" w:hAnsi="仿宋_GB2312" w:eastAsia="仿宋_GB2312" w:cs="仿宋_GB2312"/>
          <w:snapToGrid w:val="0"/>
          <w:color w:val="auto"/>
          <w:w w:val="98"/>
          <w:kern w:val="0"/>
          <w:sz w:val="32"/>
          <w:szCs w:val="32"/>
          <w:highlight w:val="none"/>
        </w:rPr>
        <w:t>高级职称</w:t>
      </w:r>
      <w:r>
        <w:rPr>
          <w:rFonts w:hint="eastAsia" w:ascii="仿宋_GB2312" w:hAnsi="仿宋_GB2312" w:eastAsia="仿宋_GB2312" w:cs="仿宋_GB2312"/>
          <w:snapToGrid w:val="0"/>
          <w:color w:val="auto"/>
          <w:w w:val="98"/>
          <w:kern w:val="0"/>
          <w:sz w:val="32"/>
          <w:szCs w:val="32"/>
          <w:highlight w:val="none"/>
          <w:lang w:eastAsia="zh-CN"/>
        </w:rPr>
        <w:t>专场</w:t>
      </w:r>
      <w:r>
        <w:rPr>
          <w:rFonts w:hint="eastAsia" w:ascii="仿宋_GB2312" w:hAnsi="仿宋_GB2312" w:eastAsia="仿宋_GB2312" w:cs="仿宋_GB2312"/>
          <w:snapToGrid w:val="0"/>
          <w:color w:val="auto"/>
          <w:w w:val="98"/>
          <w:kern w:val="0"/>
          <w:sz w:val="32"/>
          <w:szCs w:val="32"/>
          <w:highlight w:val="none"/>
        </w:rPr>
        <w:t>评审科学化、规范化和制度化，结合</w:t>
      </w:r>
      <w:r>
        <w:rPr>
          <w:rFonts w:hint="eastAsia" w:ascii="仿宋_GB2312" w:hAnsi="仿宋_GB2312" w:eastAsia="仿宋_GB2312" w:cs="仿宋_GB2312"/>
          <w:snapToGrid w:val="0"/>
          <w:color w:val="auto"/>
          <w:w w:val="98"/>
          <w:kern w:val="0"/>
          <w:sz w:val="32"/>
          <w:szCs w:val="32"/>
          <w:highlight w:val="none"/>
          <w:lang w:val="en-US" w:eastAsia="zh-CN"/>
        </w:rPr>
        <w:t>我省新材料</w:t>
      </w:r>
      <w:r>
        <w:rPr>
          <w:rFonts w:hint="eastAsia" w:ascii="仿宋_GB2312" w:hAnsi="仿宋_GB2312" w:eastAsia="仿宋_GB2312" w:cs="仿宋_GB2312"/>
          <w:snapToGrid w:val="0"/>
          <w:color w:val="auto"/>
          <w:w w:val="98"/>
          <w:kern w:val="0"/>
          <w:sz w:val="32"/>
          <w:szCs w:val="32"/>
          <w:highlight w:val="none"/>
        </w:rPr>
        <w:t>产业实际情况，制定本办法。</w:t>
      </w:r>
    </w:p>
    <w:p w14:paraId="6822A5A7">
      <w:pPr>
        <w:keepNext w:val="0"/>
        <w:keepLines w:val="0"/>
        <w:pageBreakBefore w:val="0"/>
        <w:widowControl w:val="0"/>
        <w:tabs>
          <w:tab w:val="left" w:pos="8820"/>
        </w:tabs>
        <w:kinsoku/>
        <w:wordWrap/>
        <w:overflowPunct/>
        <w:topLinePunct w:val="0"/>
        <w:autoSpaceDE w:val="0"/>
        <w:autoSpaceDN w:val="0"/>
        <w:bidi w:val="0"/>
        <w:adjustRightInd w:val="0"/>
        <w:snapToGrid w:val="0"/>
        <w:spacing w:beforeAutospacing="0" w:line="600" w:lineRule="exact"/>
        <w:ind w:left="0" w:leftChars="0" w:right="0" w:rightChars="0" w:firstLine="643"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snapToGrid/>
          <w:color w:val="auto"/>
          <w:kern w:val="0"/>
          <w:sz w:val="32"/>
          <w:szCs w:val="32"/>
          <w:highlight w:val="none"/>
          <w:lang w:val="en-US" w:eastAsia="zh-CN" w:bidi="ar-SA"/>
        </w:rPr>
        <w:t xml:space="preserve">第二条 </w:t>
      </w:r>
      <w:r>
        <w:rPr>
          <w:rFonts w:hint="eastAsia" w:ascii="仿宋_GB2312" w:hAnsi="仿宋_GB2312" w:eastAsia="仿宋_GB2312" w:cs="仿宋_GB2312"/>
          <w:snapToGrid/>
          <w:color w:val="auto"/>
          <w:kern w:val="0"/>
          <w:sz w:val="32"/>
          <w:szCs w:val="32"/>
          <w:highlight w:val="none"/>
          <w:lang w:val="en-US" w:eastAsia="zh-CN" w:bidi="ar-SA"/>
        </w:rPr>
        <w:t>本办法适用于在湖南省企业从事新能源材料、新型合金材料、碳基材料等新材料产业工作的专业技术人才</w:t>
      </w:r>
      <w:r>
        <w:rPr>
          <w:rFonts w:hint="eastAsia" w:ascii="仿宋_GB2312" w:hAnsi="仿宋_GB2312" w:cs="仿宋_GB2312"/>
          <w:snapToGrid/>
          <w:color w:val="auto"/>
          <w:kern w:val="0"/>
          <w:sz w:val="32"/>
          <w:szCs w:val="32"/>
          <w:highlight w:val="none"/>
          <w:lang w:val="en-US" w:eastAsia="zh-CN" w:bidi="ar-SA"/>
        </w:rPr>
        <w:t>，</w:t>
      </w:r>
      <w:r>
        <w:rPr>
          <w:rFonts w:hint="eastAsia" w:ascii="仿宋_GB2312" w:hAnsi="仿宋_GB2312" w:eastAsia="仿宋_GB2312" w:cs="仿宋_GB2312"/>
          <w:snapToGrid/>
          <w:color w:val="auto"/>
          <w:kern w:val="0"/>
          <w:sz w:val="32"/>
          <w:szCs w:val="32"/>
          <w:highlight w:val="none"/>
          <w:lang w:val="en-US" w:eastAsia="zh-CN" w:bidi="ar-SA"/>
        </w:rPr>
        <w:t>申报正高级职称、高级职称。在评审申报材料接收截止日前达到法定退休年龄或已退休的人员（含退休返聘）不得参评。</w:t>
      </w:r>
    </w:p>
    <w:p w14:paraId="48801776">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val="0"/>
          <w:snapToGrid/>
          <w:color w:val="auto"/>
          <w:kern w:val="0"/>
          <w:sz w:val="32"/>
          <w:szCs w:val="32"/>
          <w:highlight w:val="none"/>
          <w:lang w:val="en-US" w:eastAsia="zh-CN" w:bidi="ar-SA"/>
        </w:rPr>
        <w:t>第三条</w:t>
      </w:r>
      <w:r>
        <w:rPr>
          <w:rFonts w:hint="eastAsia" w:ascii="仿宋_GB2312" w:hAnsi="仿宋_GB2312" w:eastAsia="仿宋_GB2312" w:cs="仿宋_GB2312"/>
          <w:b w:val="0"/>
          <w:bCs/>
          <w:snapToGrid/>
          <w:color w:val="auto"/>
          <w:kern w:val="0"/>
          <w:sz w:val="32"/>
          <w:szCs w:val="32"/>
          <w:highlight w:val="none"/>
          <w:lang w:val="en-US" w:eastAsia="zh-CN" w:bidi="ar-SA"/>
        </w:rPr>
        <w:t xml:space="preserve"> </w:t>
      </w:r>
      <w:r>
        <w:rPr>
          <w:rFonts w:hint="eastAsia" w:ascii="仿宋_GB2312" w:hAnsi="仿宋_GB2312" w:eastAsia="仿宋_GB2312" w:cs="仿宋_GB2312"/>
          <w:color w:val="auto"/>
          <w:sz w:val="32"/>
          <w:szCs w:val="32"/>
          <w:highlight w:val="none"/>
          <w:lang w:val="en-US" w:eastAsia="zh-CN"/>
        </w:rPr>
        <w:t>新材料产业专场评审专业参照《关于印发&lt;各系列职称下设分支专业名称一览表&gt;的通知》（湘职改办〔2020〕6号）设置，具体为0605有色金属工程、060905冶金、060902机械与动力工程、060908化工、060910建筑材料、060914矿山工程等类别下设</w:t>
      </w:r>
      <w:r>
        <w:rPr>
          <w:rFonts w:hint="eastAsia" w:ascii="仿宋_GB2312" w:hAnsi="仿宋_GB2312" w:cs="仿宋_GB2312"/>
          <w:color w:val="auto"/>
          <w:sz w:val="32"/>
          <w:szCs w:val="32"/>
          <w:highlight w:val="none"/>
          <w:lang w:val="en-US" w:eastAsia="zh-CN"/>
        </w:rPr>
        <w:t>的相关</w:t>
      </w:r>
      <w:r>
        <w:rPr>
          <w:rFonts w:hint="eastAsia" w:ascii="仿宋_GB2312" w:hAnsi="仿宋_GB2312" w:eastAsia="仿宋_GB2312" w:cs="仿宋_GB2312"/>
          <w:color w:val="auto"/>
          <w:sz w:val="32"/>
          <w:szCs w:val="32"/>
          <w:highlight w:val="none"/>
          <w:lang w:val="en-US" w:eastAsia="zh-CN"/>
        </w:rPr>
        <w:t>分支专业。</w:t>
      </w:r>
    </w:p>
    <w:p w14:paraId="5D4E910F">
      <w:pPr>
        <w:keepNext w:val="0"/>
        <w:keepLines w:val="0"/>
        <w:pageBreakBefore w:val="0"/>
        <w:kinsoku/>
        <w:wordWrap/>
        <w:overflowPunct/>
        <w:topLinePunct w:val="0"/>
        <w:bidi w:val="0"/>
        <w:spacing w:line="600" w:lineRule="exact"/>
        <w:ind w:firstLine="640" w:firstLineChars="200"/>
        <w:jc w:val="center"/>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第二章  申报基本条件</w:t>
      </w:r>
    </w:p>
    <w:p w14:paraId="5543F2D1">
      <w:pPr>
        <w:keepNext w:val="0"/>
        <w:keepLines w:val="0"/>
        <w:pageBreakBefore w:val="0"/>
        <w:kinsoku/>
        <w:wordWrap/>
        <w:overflowPunct/>
        <w:topLinePunct w:val="0"/>
        <w:bidi w:val="0"/>
        <w:spacing w:line="600" w:lineRule="exact"/>
        <w:ind w:firstLine="643"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第四条</w:t>
      </w:r>
      <w:r>
        <w:rPr>
          <w:rFonts w:hint="eastAsia" w:ascii="仿宋_GB2312" w:hAnsi="仿宋_GB2312" w:eastAsia="仿宋_GB2312" w:cs="仿宋_GB2312"/>
          <w:color w:val="auto"/>
          <w:sz w:val="32"/>
          <w:szCs w:val="32"/>
          <w:highlight w:val="none"/>
          <w:lang w:val="en-US" w:eastAsia="zh-CN"/>
        </w:rPr>
        <w:t xml:space="preserve"> 热爱祖国，拥护中国共产党的领导,政治立场坚定，遵守国家法律和法规，具有良好的职业操守，认真履行岗位职责，恪守科研诚信。申报前累计所需资历年限的年度考核结果应为“合格”以上。</w:t>
      </w:r>
    </w:p>
    <w:p w14:paraId="09DDE61E">
      <w:pPr>
        <w:keepNext w:val="0"/>
        <w:keepLines w:val="0"/>
        <w:pageBreakBefore w:val="0"/>
        <w:kinsoku/>
        <w:wordWrap/>
        <w:overflowPunct/>
        <w:topLinePunct w:val="0"/>
        <w:bidi w:val="0"/>
        <w:spacing w:line="600" w:lineRule="exact"/>
        <w:ind w:firstLine="643"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第五条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cs="仿宋_GB2312"/>
          <w:b/>
          <w:bCs/>
          <w:color w:val="auto"/>
          <w:sz w:val="32"/>
          <w:szCs w:val="32"/>
          <w:highlight w:val="none"/>
          <w:lang w:val="en-US" w:eastAsia="zh-CN"/>
        </w:rPr>
        <w:t>高级工程师申报要求</w:t>
      </w:r>
    </w:p>
    <w:p w14:paraId="1DFD95E6">
      <w:pPr>
        <w:keepNext w:val="0"/>
        <w:keepLines w:val="0"/>
        <w:pageBreakBefore w:val="0"/>
        <w:kinsoku/>
        <w:wordWrap/>
        <w:overflowPunct/>
        <w:topLinePunct w:val="0"/>
        <w:bidi w:val="0"/>
        <w:spacing w:line="60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lang w:val="en-US" w:eastAsia="zh-CN"/>
        </w:rPr>
        <w:t>正常申报要求</w:t>
      </w:r>
    </w:p>
    <w:p w14:paraId="097B1761">
      <w:pPr>
        <w:keepNext w:val="0"/>
        <w:keepLines w:val="0"/>
        <w:pageBreakBefore w:val="0"/>
        <w:kinsoku/>
        <w:wordWrap/>
        <w:overflowPunct/>
        <w:topLinePunct w:val="0"/>
        <w:bidi w:val="0"/>
        <w:spacing w:line="60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应具备下列条件之一：</w:t>
      </w:r>
    </w:p>
    <w:p w14:paraId="55DFF717">
      <w:pPr>
        <w:keepNext w:val="0"/>
        <w:keepLines w:val="0"/>
        <w:pageBreakBefore w:val="0"/>
        <w:kinsoku/>
        <w:wordWrap/>
        <w:overflowPunct/>
        <w:topLinePunct w:val="0"/>
        <w:bidi w:val="0"/>
        <w:spacing w:line="60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1.博士后人员经考核合格出站后，从事新材料相关工作。</w:t>
      </w:r>
    </w:p>
    <w:p w14:paraId="4A6E60B6">
      <w:pPr>
        <w:keepNext w:val="0"/>
        <w:keepLines w:val="0"/>
        <w:pageBreakBefore w:val="0"/>
        <w:kinsoku/>
        <w:wordWrap/>
        <w:overflowPunct/>
        <w:topLinePunct w:val="0"/>
        <w:bidi w:val="0"/>
        <w:spacing w:line="60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2.具有博士学位，取得工程师职称后，从事新材料产业技术工作2年及以上。</w:t>
      </w:r>
    </w:p>
    <w:p w14:paraId="0874F9FC">
      <w:pPr>
        <w:keepNext w:val="0"/>
        <w:keepLines w:val="0"/>
        <w:pageBreakBefore w:val="0"/>
        <w:kinsoku/>
        <w:wordWrap/>
        <w:overflowPunct/>
        <w:topLinePunct w:val="0"/>
        <w:bidi w:val="0"/>
        <w:spacing w:line="60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3.具有大学本科及以上学历或学士以上学位，或技工院校预备技师（技师）班毕业，取得工程师职称后从事新材料产业技术工作5年及以上。</w:t>
      </w:r>
    </w:p>
    <w:p w14:paraId="7120CBD3">
      <w:pPr>
        <w:keepNext w:val="0"/>
        <w:keepLines w:val="0"/>
        <w:pageBreakBefore w:val="0"/>
        <w:kinsoku/>
        <w:wordWrap/>
        <w:overflowPunct/>
        <w:topLinePunct w:val="0"/>
        <w:bidi w:val="0"/>
        <w:spacing w:line="60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4.获得相关工程类高级技师（一级）职业资格或职业技能等级后，从事新材料产业技术工作4年及以上。</w:t>
      </w:r>
    </w:p>
    <w:p w14:paraId="64BD634C">
      <w:pPr>
        <w:keepNext w:val="0"/>
        <w:keepLines w:val="0"/>
        <w:pageBreakBefore w:val="0"/>
        <w:kinsoku/>
        <w:wordWrap/>
        <w:overflowPunct/>
        <w:topLinePunct w:val="0"/>
        <w:bidi w:val="0"/>
        <w:spacing w:line="60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（二）破格</w:t>
      </w:r>
      <w:r>
        <w:rPr>
          <w:rFonts w:hint="eastAsia" w:ascii="仿宋_GB2312" w:hAnsi="仿宋_GB2312" w:eastAsia="仿宋_GB2312" w:cs="仿宋_GB2312"/>
          <w:color w:val="auto"/>
          <w:sz w:val="32"/>
          <w:szCs w:val="32"/>
          <w:highlight w:val="none"/>
          <w:lang w:val="en-US" w:eastAsia="zh-CN"/>
        </w:rPr>
        <w:t>申报要求</w:t>
      </w:r>
    </w:p>
    <w:p w14:paraId="35D34F23">
      <w:pPr>
        <w:keepNext w:val="0"/>
        <w:keepLines w:val="0"/>
        <w:pageBreakBefore w:val="0"/>
        <w:kinsoku/>
        <w:wordWrap/>
        <w:overflowPunct/>
        <w:topLinePunct w:val="0"/>
        <w:bidi w:val="0"/>
        <w:spacing w:line="600" w:lineRule="exact"/>
        <w:ind w:firstLine="640" w:firstLineChars="200"/>
        <w:jc w:val="both"/>
        <w:rPr>
          <w:rFonts w:hint="eastAsia" w:ascii="仿宋_GB2312" w:hAnsi="仿宋_GB2312" w:eastAsia="仿宋_GB2312" w:cs="仿宋_GB2312"/>
          <w:b/>
          <w:bCs/>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eastAsia="zh-CN"/>
        </w:rPr>
        <w:t>在专业技术岗位上做出卓越业绩、贡献突出且业内认可，经2名以上同行专家（具备正高级职称3年以上）推荐，</w:t>
      </w:r>
      <w:r>
        <w:rPr>
          <w:rFonts w:hint="eastAsia" w:ascii="仿宋_GB2312" w:hAnsi="仿宋_GB2312" w:eastAsia="仿宋_GB2312" w:cs="仿宋_GB2312"/>
          <w:color w:val="auto"/>
          <w:sz w:val="32"/>
          <w:szCs w:val="32"/>
          <w:highlight w:val="none"/>
          <w:lang w:val="en-US" w:eastAsia="zh-CN"/>
        </w:rPr>
        <w:t>具备下列条件之一</w:t>
      </w:r>
      <w:r>
        <w:rPr>
          <w:rFonts w:hint="eastAsia" w:ascii="仿宋_GB2312" w:hAnsi="仿宋_GB2312" w:cs="仿宋_GB2312"/>
          <w:color w:val="auto"/>
          <w:sz w:val="32"/>
          <w:szCs w:val="32"/>
          <w:highlight w:val="none"/>
          <w:lang w:val="en-US" w:eastAsia="zh-CN"/>
        </w:rPr>
        <w:t>，</w:t>
      </w:r>
      <w:r>
        <w:rPr>
          <w:rFonts w:hint="eastAsia" w:ascii="仿宋_GB2312" w:hAnsi="仿宋_GB2312" w:eastAsia="仿宋_GB2312" w:cs="仿宋_GB2312"/>
          <w:color w:val="auto"/>
          <w:kern w:val="0"/>
          <w:sz w:val="32"/>
          <w:szCs w:val="32"/>
          <w:highlight w:val="none"/>
          <w:lang w:eastAsia="zh-CN"/>
        </w:rPr>
        <w:t>可按要求破格申报</w:t>
      </w:r>
      <w:r>
        <w:rPr>
          <w:rFonts w:hint="eastAsia" w:ascii="仿宋_GB2312" w:hAnsi="仿宋_GB2312" w:eastAsia="仿宋_GB2312" w:cs="仿宋_GB2312"/>
          <w:color w:val="auto"/>
          <w:sz w:val="32"/>
          <w:szCs w:val="32"/>
          <w:highlight w:val="none"/>
          <w:lang w:val="en-US" w:eastAsia="zh-CN"/>
        </w:rPr>
        <w:t>：</w:t>
      </w:r>
    </w:p>
    <w:p w14:paraId="30976063">
      <w:pPr>
        <w:keepNext w:val="0"/>
        <w:keepLines w:val="0"/>
        <w:pageBreakBefore w:val="0"/>
        <w:kinsoku/>
        <w:wordWrap/>
        <w:overflowPunct/>
        <w:topLinePunct w:val="0"/>
        <w:bidi w:val="0"/>
        <w:spacing w:line="60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en-US" w:eastAsia="zh-CN"/>
        </w:rPr>
        <w:t>对确有真才实学，成绩显著、贡献突出的人员</w:t>
      </w:r>
      <w:r>
        <w:rPr>
          <w:rFonts w:hint="default" w:ascii="Times New Roman" w:hAnsi="Times New Roman" w:eastAsia="仿宋_GB2312" w:cs="Times New Roman"/>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具备以下条件之一，且业绩成果条件达到高级工程师职称的业绩成果2项及以上，可破格申报：</w:t>
      </w:r>
    </w:p>
    <w:p w14:paraId="5B72A09B">
      <w:pPr>
        <w:keepNext w:val="0"/>
        <w:keepLines w:val="0"/>
        <w:pageBreakBefore w:val="0"/>
        <w:kinsoku/>
        <w:wordWrap/>
        <w:overflowPunct/>
        <w:topLinePunct w:val="0"/>
        <w:bidi w:val="0"/>
        <w:spacing w:line="60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en-US" w:eastAsia="zh-CN"/>
        </w:rPr>
        <w:t>获得博士学位，取得工程师职称后，从事新材料产业技术工作1年及以上。</w:t>
      </w:r>
    </w:p>
    <w:p w14:paraId="56AC21BF">
      <w:pPr>
        <w:keepNext w:val="0"/>
        <w:keepLines w:val="0"/>
        <w:pageBreakBefore w:val="0"/>
        <w:kinsoku/>
        <w:wordWrap/>
        <w:overflowPunct/>
        <w:topLinePunct w:val="0"/>
        <w:bidi w:val="0"/>
        <w:spacing w:line="60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en-US" w:eastAsia="zh-CN"/>
        </w:rPr>
        <w:t>具有大学本科及以上学历或学位，或技工院校预备技师（技师）班毕业，取得工程师职称后，从事新材料产业技术工作3年及以上。</w:t>
      </w:r>
    </w:p>
    <w:p w14:paraId="273F9821">
      <w:pPr>
        <w:keepNext w:val="0"/>
        <w:keepLines w:val="0"/>
        <w:pageBreakBefore w:val="0"/>
        <w:kinsoku/>
        <w:wordWrap/>
        <w:overflowPunct/>
        <w:topLinePunct w:val="0"/>
        <w:bidi w:val="0"/>
        <w:spacing w:line="60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en-US" w:eastAsia="zh-CN"/>
        </w:rPr>
        <w:t>民营企业专技人才符合以下条件之一，且业绩成果条件达到高级工程师职称的业绩成果2项及以上，可破格申报：</w:t>
      </w:r>
    </w:p>
    <w:p w14:paraId="5FFB9A89">
      <w:pPr>
        <w:keepNext w:val="0"/>
        <w:keepLines w:val="0"/>
        <w:pageBreakBefore w:val="0"/>
        <w:kinsoku/>
        <w:wordWrap/>
        <w:overflowPunct/>
        <w:topLinePunct w:val="0"/>
        <w:bidi w:val="0"/>
        <w:spacing w:line="60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en-US" w:eastAsia="zh-CN"/>
        </w:rPr>
        <w:t>具有博士学位，从事新材料产业技术工作6年及以上。</w:t>
      </w:r>
    </w:p>
    <w:p w14:paraId="30AFC363">
      <w:pPr>
        <w:keepNext w:val="0"/>
        <w:keepLines w:val="0"/>
        <w:pageBreakBefore w:val="0"/>
        <w:kinsoku/>
        <w:wordWrap/>
        <w:overflowPunct/>
        <w:topLinePunct w:val="0"/>
        <w:bidi w:val="0"/>
        <w:spacing w:line="60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en-US" w:eastAsia="zh-CN"/>
        </w:rPr>
        <w:t>具有硕士学位，从事新材料产业技术工作12年及以上。</w:t>
      </w:r>
    </w:p>
    <w:p w14:paraId="226E3719">
      <w:pPr>
        <w:keepNext w:val="0"/>
        <w:keepLines w:val="0"/>
        <w:pageBreakBefore w:val="0"/>
        <w:kinsoku/>
        <w:wordWrap/>
        <w:overflowPunct/>
        <w:topLinePunct w:val="0"/>
        <w:bidi w:val="0"/>
        <w:spacing w:line="60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具有大学本科及以上学历或学位，或技工院校预备技师（技师）班毕业，取得助理工程师职称后从事新材料产业技术工作15年及以上。</w:t>
      </w:r>
    </w:p>
    <w:p w14:paraId="755A5C10">
      <w:pPr>
        <w:keepNext w:val="0"/>
        <w:keepLines w:val="0"/>
        <w:pageBreakBefore w:val="0"/>
        <w:kinsoku/>
        <w:wordWrap/>
        <w:overflowPunct/>
        <w:topLinePunct w:val="0"/>
        <w:bidi w:val="0"/>
        <w:spacing w:line="600" w:lineRule="exact"/>
        <w:ind w:firstLine="643" w:firstLineChars="200"/>
        <w:jc w:val="both"/>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w:t>
      </w:r>
      <w:r>
        <w:rPr>
          <w:rFonts w:hint="eastAsia" w:ascii="仿宋_GB2312" w:hAnsi="仿宋_GB2312" w:cs="仿宋_GB2312"/>
          <w:b/>
          <w:bCs/>
          <w:color w:val="auto"/>
          <w:sz w:val="32"/>
          <w:szCs w:val="32"/>
          <w:highlight w:val="none"/>
          <w:lang w:val="en-US" w:eastAsia="zh-CN"/>
        </w:rPr>
        <w:t>六</w:t>
      </w:r>
      <w:r>
        <w:rPr>
          <w:rFonts w:hint="eastAsia" w:ascii="仿宋_GB2312" w:hAnsi="仿宋_GB2312" w:eastAsia="仿宋_GB2312" w:cs="仿宋_GB2312"/>
          <w:b/>
          <w:bCs/>
          <w:color w:val="auto"/>
          <w:sz w:val="32"/>
          <w:szCs w:val="32"/>
          <w:highlight w:val="none"/>
          <w:lang w:val="en-US" w:eastAsia="zh-CN"/>
        </w:rPr>
        <w:t>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b/>
          <w:bCs/>
          <w:color w:val="auto"/>
          <w:sz w:val="32"/>
          <w:szCs w:val="32"/>
          <w:highlight w:val="none"/>
          <w:lang w:val="en-US" w:eastAsia="zh-CN"/>
        </w:rPr>
        <w:t>正高级工程师申报要求</w:t>
      </w:r>
    </w:p>
    <w:p w14:paraId="4DC534D2">
      <w:pPr>
        <w:keepNext w:val="0"/>
        <w:keepLines w:val="0"/>
        <w:pageBreakBefore w:val="0"/>
        <w:kinsoku/>
        <w:wordWrap/>
        <w:overflowPunct/>
        <w:topLinePunct w:val="0"/>
        <w:bidi w:val="0"/>
        <w:spacing w:line="600" w:lineRule="exact"/>
        <w:ind w:firstLine="640" w:firstLineChars="200"/>
        <w:jc w:val="both"/>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lang w:val="en-US" w:eastAsia="zh-CN"/>
        </w:rPr>
        <w:t>正常申报要求</w:t>
      </w:r>
      <w:r>
        <w:rPr>
          <w:rFonts w:hint="eastAsia" w:ascii="仿宋_GB2312" w:hAnsi="仿宋_GB2312" w:cs="仿宋_GB2312"/>
          <w:color w:val="auto"/>
          <w:sz w:val="32"/>
          <w:szCs w:val="32"/>
          <w:highlight w:val="none"/>
          <w:lang w:val="en-US" w:eastAsia="zh-CN"/>
        </w:rPr>
        <w:t>：</w:t>
      </w:r>
    </w:p>
    <w:p w14:paraId="630525D7">
      <w:pPr>
        <w:keepNext w:val="0"/>
        <w:keepLines w:val="0"/>
        <w:pageBreakBefore w:val="0"/>
        <w:kinsoku/>
        <w:wordWrap/>
        <w:overflowPunct/>
        <w:topLinePunct w:val="0"/>
        <w:bidi w:val="0"/>
        <w:spacing w:line="60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具备大学本科及以上学历或学士及以上学位，取得工程类高级职称后从事新材料产业专业技术工作满5年。</w:t>
      </w:r>
    </w:p>
    <w:p w14:paraId="304B8DA5">
      <w:pPr>
        <w:keepNext w:val="0"/>
        <w:keepLines w:val="0"/>
        <w:pageBreakBefore w:val="0"/>
        <w:kinsoku/>
        <w:wordWrap/>
        <w:overflowPunct/>
        <w:topLinePunct w:val="0"/>
        <w:bidi w:val="0"/>
        <w:spacing w:line="60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lang w:val="en-US" w:eastAsia="zh-CN"/>
        </w:rPr>
        <w:t>破格申报要求</w:t>
      </w:r>
      <w:r>
        <w:rPr>
          <w:rFonts w:hint="eastAsia" w:ascii="仿宋_GB2312" w:hAnsi="仿宋_GB2312" w:cs="仿宋_GB2312"/>
          <w:color w:val="auto"/>
          <w:sz w:val="32"/>
          <w:szCs w:val="32"/>
          <w:highlight w:val="none"/>
          <w:lang w:val="en-US" w:eastAsia="zh-CN"/>
        </w:rPr>
        <w:t>：</w:t>
      </w:r>
    </w:p>
    <w:p w14:paraId="70AF701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eastAsia" w:ascii="仿宋_GB2312" w:hAnsi="仿宋_GB2312" w:eastAsia="仿宋_GB2312" w:cs="仿宋_GB2312"/>
          <w:kern w:val="2"/>
          <w:sz w:val="18"/>
          <w:szCs w:val="24"/>
          <w:lang w:val="en-US" w:eastAsia="zh-CN" w:bidi="ar-SA"/>
        </w:rPr>
      </w:pPr>
      <w:r>
        <w:rPr>
          <w:rFonts w:hint="eastAsia" w:ascii="仿宋_GB2312" w:hAnsi="仿宋_GB2312" w:eastAsia="仿宋_GB2312" w:cs="仿宋_GB2312"/>
          <w:color w:val="auto"/>
          <w:kern w:val="2"/>
          <w:sz w:val="32"/>
          <w:szCs w:val="32"/>
          <w:highlight w:val="none"/>
          <w:lang w:val="en-US" w:eastAsia="zh-CN" w:bidi="ar-SA"/>
        </w:rPr>
        <w:t>对长期从事新材料产业技术工作、确有真才实学，业绩成果显著、贡献突出的人员，</w:t>
      </w:r>
      <w:r>
        <w:rPr>
          <w:rFonts w:hint="eastAsia" w:ascii="仿宋_GB2312" w:hAnsi="仿宋_GB2312" w:eastAsia="仿宋_GB2312" w:cs="仿宋_GB2312"/>
          <w:kern w:val="2"/>
          <w:sz w:val="32"/>
          <w:szCs w:val="32"/>
          <w:lang w:val="en-US" w:eastAsia="zh-CN" w:bidi="ar-SA"/>
        </w:rPr>
        <w:t>具备大学本科及以上学历或学士及以上学位，取得高级工程师职称后从事本专业技术工作满3年</w:t>
      </w:r>
      <w:r>
        <w:rPr>
          <w:rFonts w:hint="eastAsia" w:ascii="仿宋_GB2312" w:hAnsi="仿宋_GB2312" w:eastAsia="仿宋_GB2312" w:cs="仿宋_GB2312"/>
          <w:b w:val="0"/>
          <w:bCs w:val="0"/>
          <w:kern w:val="2"/>
          <w:sz w:val="32"/>
          <w:szCs w:val="32"/>
          <w:lang w:val="en-US" w:eastAsia="zh-CN" w:bidi="ar-SA"/>
        </w:rPr>
        <w:t>，</w:t>
      </w:r>
      <w:r>
        <w:rPr>
          <w:rFonts w:hint="eastAsia" w:ascii="仿宋_GB2312" w:hAnsi="仿宋_GB2312" w:eastAsia="仿宋_GB2312" w:cs="仿宋_GB2312"/>
          <w:color w:val="auto"/>
          <w:kern w:val="0"/>
          <w:sz w:val="32"/>
          <w:szCs w:val="32"/>
          <w:highlight w:val="none"/>
          <w:lang w:eastAsia="zh-CN"/>
        </w:rPr>
        <w:t>经2名以上同行专家（具备正高级职称3年以上）推荐</w:t>
      </w:r>
      <w:r>
        <w:rPr>
          <w:rFonts w:hint="eastAsia" w:ascii="仿宋_GB2312" w:hAnsi="仿宋_GB2312" w:cs="仿宋_GB2312"/>
          <w:color w:val="auto"/>
          <w:kern w:val="0"/>
          <w:sz w:val="32"/>
          <w:szCs w:val="32"/>
          <w:highlight w:val="none"/>
          <w:lang w:eastAsia="zh-CN"/>
        </w:rPr>
        <w:t>，</w:t>
      </w:r>
      <w:r>
        <w:rPr>
          <w:rFonts w:hint="eastAsia" w:ascii="仿宋_GB2312" w:hAnsi="仿宋_GB2312" w:eastAsia="仿宋_GB2312" w:cs="仿宋_GB2312"/>
          <w:color w:val="auto"/>
          <w:kern w:val="2"/>
          <w:sz w:val="32"/>
          <w:szCs w:val="32"/>
          <w:highlight w:val="none"/>
          <w:lang w:val="en-US" w:eastAsia="zh-CN" w:bidi="ar-SA"/>
        </w:rPr>
        <w:t>且业绩成果条件达到正高级工程师职称对应业绩成果2项及以上，可破格申报。</w:t>
      </w:r>
    </w:p>
    <w:p w14:paraId="3A09BFB4">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第三章  评价基本标准</w:t>
      </w:r>
    </w:p>
    <w:p w14:paraId="4ECC619D">
      <w:pPr>
        <w:keepNext w:val="0"/>
        <w:keepLines w:val="0"/>
        <w:pageBreakBefore w:val="0"/>
        <w:widowControl w:val="0"/>
        <w:kinsoku/>
        <w:wordWrap/>
        <w:overflowPunct/>
        <w:topLinePunct w:val="0"/>
        <w:autoSpaceDE/>
        <w:autoSpaceDN/>
        <w:bidi w:val="0"/>
        <w:adjustRightInd/>
        <w:spacing w:line="600" w:lineRule="exact"/>
        <w:ind w:firstLine="643" w:firstLineChars="200"/>
        <w:jc w:val="both"/>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第</w:t>
      </w:r>
      <w:r>
        <w:rPr>
          <w:rFonts w:hint="eastAsia" w:ascii="Times New Roman" w:hAnsi="Times New Roman" w:cs="Times New Roman"/>
          <w:b/>
          <w:bCs/>
          <w:color w:val="auto"/>
          <w:sz w:val="32"/>
          <w:szCs w:val="32"/>
          <w:highlight w:val="none"/>
          <w:lang w:val="en-US" w:eastAsia="zh-CN"/>
        </w:rPr>
        <w:t>七</w:t>
      </w:r>
      <w:r>
        <w:rPr>
          <w:rFonts w:hint="default" w:ascii="Times New Roman" w:hAnsi="Times New Roman" w:eastAsia="仿宋_GB2312" w:cs="Times New Roman"/>
          <w:b/>
          <w:bCs/>
          <w:color w:val="auto"/>
          <w:sz w:val="32"/>
          <w:szCs w:val="32"/>
          <w:highlight w:val="none"/>
          <w:lang w:val="en-US" w:eastAsia="zh-CN"/>
        </w:rPr>
        <w:t>条 高级工程师评价要求：</w:t>
      </w:r>
    </w:p>
    <w:p w14:paraId="49CD271A">
      <w:pPr>
        <w:keepNext w:val="0"/>
        <w:keepLines w:val="0"/>
        <w:pageBreakBefore w:val="0"/>
        <w:kinsoku/>
        <w:wordWrap/>
        <w:overflowPunct/>
        <w:topLinePunct w:val="0"/>
        <w:bidi w:val="0"/>
        <w:spacing w:line="600" w:lineRule="exact"/>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（一）专业</w:t>
      </w:r>
      <w:r>
        <w:rPr>
          <w:rFonts w:hint="eastAsia" w:ascii="仿宋_GB2312" w:hAnsi="仿宋_GB2312" w:cs="仿宋_GB2312"/>
          <w:b w:val="0"/>
          <w:bCs w:val="0"/>
          <w:color w:val="auto"/>
          <w:sz w:val="32"/>
          <w:szCs w:val="32"/>
          <w:highlight w:val="none"/>
          <w:lang w:val="en-US" w:eastAsia="zh-CN"/>
        </w:rPr>
        <w:t>理论</w:t>
      </w:r>
      <w:r>
        <w:rPr>
          <w:rFonts w:hint="eastAsia" w:ascii="仿宋_GB2312" w:hAnsi="仿宋_GB2312" w:eastAsia="仿宋_GB2312" w:cs="仿宋_GB2312"/>
          <w:b w:val="0"/>
          <w:bCs w:val="0"/>
          <w:color w:val="auto"/>
          <w:sz w:val="32"/>
          <w:szCs w:val="32"/>
          <w:highlight w:val="none"/>
          <w:lang w:val="en-US" w:eastAsia="zh-CN"/>
        </w:rPr>
        <w:t>知识</w:t>
      </w:r>
      <w:r>
        <w:rPr>
          <w:rFonts w:hint="eastAsia" w:ascii="仿宋_GB2312" w:hAnsi="仿宋_GB2312" w:cs="仿宋_GB2312"/>
          <w:b w:val="0"/>
          <w:bCs w:val="0"/>
          <w:color w:val="auto"/>
          <w:sz w:val="32"/>
          <w:szCs w:val="32"/>
          <w:highlight w:val="none"/>
          <w:lang w:val="en-US" w:eastAsia="zh-CN"/>
        </w:rPr>
        <w:t>基本</w:t>
      </w:r>
      <w:r>
        <w:rPr>
          <w:rFonts w:hint="eastAsia" w:ascii="仿宋_GB2312" w:hAnsi="仿宋_GB2312" w:eastAsia="仿宋_GB2312" w:cs="仿宋_GB2312"/>
          <w:b w:val="0"/>
          <w:bCs w:val="0"/>
          <w:color w:val="auto"/>
          <w:sz w:val="32"/>
          <w:szCs w:val="32"/>
          <w:highlight w:val="none"/>
          <w:lang w:val="en-US" w:eastAsia="zh-CN"/>
        </w:rPr>
        <w:t>要求</w:t>
      </w:r>
    </w:p>
    <w:p w14:paraId="245BA1FB">
      <w:pPr>
        <w:keepNext w:val="0"/>
        <w:keepLines w:val="0"/>
        <w:pageBreakBefore w:val="0"/>
        <w:widowControl w:val="0"/>
        <w:tabs>
          <w:tab w:val="left" w:pos="8820"/>
        </w:tabs>
        <w:kinsoku/>
        <w:wordWrap/>
        <w:overflowPunct/>
        <w:topLinePunct w:val="0"/>
        <w:autoSpaceDE w:val="0"/>
        <w:autoSpaceDN w:val="0"/>
        <w:bidi w:val="0"/>
        <w:adjustRightInd w:val="0"/>
        <w:snapToGrid w:val="0"/>
        <w:spacing w:beforeAutospacing="0" w:afterAutospacing="0" w:line="600" w:lineRule="exact"/>
        <w:ind w:left="0" w:leftChars="0" w:right="0" w:rightChars="0" w:firstLine="640" w:firstLineChars="200"/>
        <w:jc w:val="both"/>
        <w:textAlignment w:val="baseline"/>
        <w:rPr>
          <w:rFonts w:hint="eastAsia" w:ascii="仿宋_GB2312" w:hAnsi="仿宋_GB2312" w:eastAsia="仿宋_GB2312" w:cs="仿宋_GB2312"/>
          <w:snapToGrid w:val="0"/>
          <w:color w:val="auto"/>
          <w:kern w:val="0"/>
          <w:sz w:val="32"/>
          <w:szCs w:val="32"/>
          <w:highlight w:val="none"/>
          <w:lang w:eastAsia="zh-CN"/>
        </w:rPr>
      </w:pPr>
      <w:r>
        <w:rPr>
          <w:rFonts w:hint="eastAsia" w:ascii="仿宋_GB2312" w:hAnsi="仿宋_GB2312" w:eastAsia="仿宋_GB2312" w:cs="仿宋_GB2312"/>
          <w:snapToGrid w:val="0"/>
          <w:color w:val="auto"/>
          <w:kern w:val="0"/>
          <w:sz w:val="32"/>
          <w:szCs w:val="32"/>
          <w:highlight w:val="none"/>
        </w:rPr>
        <w:t>1.系统掌握本专业的基础理论知识和专业技术知识，并在某一领域有较深入的研究</w:t>
      </w:r>
      <w:r>
        <w:rPr>
          <w:rFonts w:hint="eastAsia" w:ascii="仿宋_GB2312" w:hAnsi="仿宋_GB2312" w:eastAsia="仿宋_GB2312" w:cs="仿宋_GB2312"/>
          <w:snapToGrid w:val="0"/>
          <w:color w:val="auto"/>
          <w:kern w:val="0"/>
          <w:sz w:val="32"/>
          <w:szCs w:val="32"/>
          <w:highlight w:val="none"/>
          <w:lang w:eastAsia="zh-CN"/>
        </w:rPr>
        <w:t>。</w:t>
      </w:r>
    </w:p>
    <w:p w14:paraId="60E70598">
      <w:pPr>
        <w:keepNext w:val="0"/>
        <w:keepLines w:val="0"/>
        <w:pageBreakBefore w:val="0"/>
        <w:widowControl w:val="0"/>
        <w:tabs>
          <w:tab w:val="left" w:pos="8820"/>
        </w:tabs>
        <w:kinsoku/>
        <w:wordWrap/>
        <w:overflowPunct/>
        <w:topLinePunct w:val="0"/>
        <w:autoSpaceDE w:val="0"/>
        <w:autoSpaceDN w:val="0"/>
        <w:bidi w:val="0"/>
        <w:adjustRightInd w:val="0"/>
        <w:snapToGrid w:val="0"/>
        <w:spacing w:beforeAutospacing="0" w:afterAutospacing="0" w:line="600" w:lineRule="exact"/>
        <w:ind w:left="0" w:leftChars="0" w:right="0" w:rightChars="0" w:firstLine="640" w:firstLineChars="200"/>
        <w:jc w:val="both"/>
        <w:textAlignment w:val="baseline"/>
        <w:rPr>
          <w:rFonts w:hint="eastAsia" w:ascii="仿宋_GB2312" w:hAnsi="仿宋_GB2312" w:eastAsia="仿宋_GB2312" w:cs="仿宋_GB2312"/>
          <w:snapToGrid w:val="0"/>
          <w:color w:val="auto"/>
          <w:kern w:val="0"/>
          <w:sz w:val="32"/>
          <w:szCs w:val="32"/>
          <w:highlight w:val="none"/>
          <w:lang w:eastAsia="zh-CN"/>
        </w:rPr>
      </w:pPr>
      <w:r>
        <w:rPr>
          <w:rFonts w:hint="eastAsia" w:ascii="仿宋_GB2312" w:hAnsi="仿宋_GB2312" w:eastAsia="仿宋_GB2312" w:cs="仿宋_GB2312"/>
          <w:snapToGrid w:val="0"/>
          <w:color w:val="auto"/>
          <w:kern w:val="0"/>
          <w:sz w:val="32"/>
          <w:szCs w:val="32"/>
          <w:highlight w:val="none"/>
        </w:rPr>
        <w:t>2.熟悉与本专业相关的法律、技术法规和政策，掌握本专业的技术标准、规范、规程和相关专业知识</w:t>
      </w:r>
      <w:r>
        <w:rPr>
          <w:rFonts w:hint="eastAsia" w:ascii="仿宋_GB2312" w:hAnsi="仿宋_GB2312" w:eastAsia="仿宋_GB2312" w:cs="仿宋_GB2312"/>
          <w:snapToGrid w:val="0"/>
          <w:color w:val="auto"/>
          <w:kern w:val="0"/>
          <w:sz w:val="32"/>
          <w:szCs w:val="32"/>
          <w:highlight w:val="none"/>
          <w:lang w:eastAsia="zh-CN"/>
        </w:rPr>
        <w:t>。</w:t>
      </w:r>
    </w:p>
    <w:p w14:paraId="090ADC2B">
      <w:pPr>
        <w:keepNext w:val="0"/>
        <w:keepLines w:val="0"/>
        <w:pageBreakBefore w:val="0"/>
        <w:widowControl w:val="0"/>
        <w:tabs>
          <w:tab w:val="left" w:pos="8820"/>
        </w:tabs>
        <w:kinsoku/>
        <w:wordWrap/>
        <w:overflowPunct/>
        <w:topLinePunct w:val="0"/>
        <w:autoSpaceDE w:val="0"/>
        <w:autoSpaceDN w:val="0"/>
        <w:bidi w:val="0"/>
        <w:adjustRightInd w:val="0"/>
        <w:snapToGrid w:val="0"/>
        <w:spacing w:beforeAutospacing="0" w:afterAutospacing="0" w:line="600" w:lineRule="exact"/>
        <w:ind w:left="0" w:leftChars="0" w:right="0" w:rightChars="0" w:firstLine="640" w:firstLineChars="200"/>
        <w:jc w:val="both"/>
        <w:textAlignment w:val="baseline"/>
        <w:rPr>
          <w:rFonts w:hint="eastAsia" w:ascii="仿宋_GB2312" w:hAnsi="仿宋_GB2312" w:eastAsia="仿宋_GB2312" w:cs="仿宋_GB2312"/>
          <w:snapToGrid w:val="0"/>
          <w:color w:val="auto"/>
          <w:kern w:val="0"/>
          <w:sz w:val="32"/>
          <w:szCs w:val="32"/>
          <w:highlight w:val="none"/>
          <w:lang w:eastAsia="zh-CN"/>
        </w:rPr>
      </w:pPr>
      <w:r>
        <w:rPr>
          <w:rFonts w:hint="eastAsia" w:ascii="仿宋_GB2312" w:hAnsi="仿宋_GB2312" w:eastAsia="仿宋_GB2312" w:cs="仿宋_GB2312"/>
          <w:snapToGrid w:val="0"/>
          <w:color w:val="auto"/>
          <w:kern w:val="0"/>
          <w:sz w:val="32"/>
          <w:szCs w:val="32"/>
          <w:highlight w:val="none"/>
        </w:rPr>
        <w:t>3</w:t>
      </w:r>
      <w:bookmarkStart w:id="0" w:name="OLE_LINK50"/>
      <w:bookmarkStart w:id="1" w:name="OLE_LINK1"/>
      <w:bookmarkStart w:id="2" w:name="OLE_LINK2"/>
      <w:r>
        <w:rPr>
          <w:rFonts w:hint="eastAsia" w:ascii="仿宋_GB2312" w:hAnsi="仿宋_GB2312" w:eastAsia="仿宋_GB2312" w:cs="仿宋_GB2312"/>
          <w:snapToGrid w:val="0"/>
          <w:color w:val="auto"/>
          <w:kern w:val="0"/>
          <w:sz w:val="32"/>
          <w:szCs w:val="32"/>
          <w:highlight w:val="none"/>
        </w:rPr>
        <w:t>.</w:t>
      </w:r>
      <w:bookmarkEnd w:id="0"/>
      <w:bookmarkEnd w:id="1"/>
      <w:bookmarkEnd w:id="2"/>
      <w:r>
        <w:rPr>
          <w:rFonts w:hint="eastAsia" w:ascii="仿宋_GB2312" w:hAnsi="仿宋_GB2312" w:eastAsia="仿宋_GB2312" w:cs="仿宋_GB2312"/>
          <w:snapToGrid w:val="0"/>
          <w:color w:val="auto"/>
          <w:kern w:val="0"/>
          <w:sz w:val="32"/>
          <w:szCs w:val="32"/>
          <w:highlight w:val="none"/>
        </w:rPr>
        <w:t>熟悉本专业国内外最新技术状况和发展趋势</w:t>
      </w:r>
      <w:r>
        <w:rPr>
          <w:rFonts w:hint="eastAsia" w:ascii="仿宋_GB2312" w:hAnsi="仿宋_GB2312" w:eastAsia="仿宋_GB2312" w:cs="仿宋_GB2312"/>
          <w:snapToGrid w:val="0"/>
          <w:color w:val="auto"/>
          <w:kern w:val="0"/>
          <w:sz w:val="32"/>
          <w:szCs w:val="32"/>
          <w:highlight w:val="none"/>
          <w:lang w:eastAsia="zh-CN"/>
        </w:rPr>
        <w:t>。</w:t>
      </w:r>
    </w:p>
    <w:p w14:paraId="70D4A21F">
      <w:pPr>
        <w:keepNext w:val="0"/>
        <w:keepLines w:val="0"/>
        <w:pageBreakBefore w:val="0"/>
        <w:widowControl w:val="0"/>
        <w:tabs>
          <w:tab w:val="left" w:pos="8820"/>
        </w:tabs>
        <w:kinsoku/>
        <w:wordWrap/>
        <w:overflowPunct/>
        <w:topLinePunct w:val="0"/>
        <w:autoSpaceDE w:val="0"/>
        <w:autoSpaceDN w:val="0"/>
        <w:bidi w:val="0"/>
        <w:adjustRightInd w:val="0"/>
        <w:snapToGrid w:val="0"/>
        <w:spacing w:beforeAutospacing="0" w:afterAutospacing="0" w:line="600" w:lineRule="exact"/>
        <w:ind w:left="0" w:leftChars="0" w:right="0" w:rightChars="0" w:firstLine="640" w:firstLineChars="200"/>
        <w:jc w:val="both"/>
        <w:textAlignment w:val="baseline"/>
        <w:rPr>
          <w:rFonts w:hint="eastAsia" w:ascii="仿宋_GB2312" w:hAnsi="仿宋_GB2312" w:eastAsia="仿宋_GB2312" w:cs="仿宋_GB2312"/>
          <w:snapToGrid w:val="0"/>
          <w:color w:val="auto"/>
          <w:kern w:val="0"/>
          <w:sz w:val="32"/>
          <w:szCs w:val="32"/>
          <w:highlight w:val="none"/>
          <w:lang w:val="en-US" w:eastAsia="zh-CN"/>
        </w:rPr>
      </w:pPr>
      <w:r>
        <w:rPr>
          <w:rFonts w:hint="eastAsia" w:ascii="仿宋_GB2312" w:hAnsi="仿宋_GB2312" w:eastAsia="仿宋_GB2312" w:cs="仿宋_GB2312"/>
          <w:snapToGrid w:val="0"/>
          <w:color w:val="auto"/>
          <w:kern w:val="0"/>
          <w:sz w:val="32"/>
          <w:szCs w:val="32"/>
          <w:highlight w:val="none"/>
          <w:lang w:val="en-US" w:eastAsia="zh-CN"/>
        </w:rPr>
        <w:t>4.能对重大和关键技术问题进行总结和分析，能结合本单位实际情况提出技术发展规划。</w:t>
      </w:r>
    </w:p>
    <w:p w14:paraId="13398774">
      <w:pPr>
        <w:keepNext w:val="0"/>
        <w:keepLines w:val="0"/>
        <w:pageBreakBefore w:val="0"/>
        <w:kinsoku/>
        <w:wordWrap/>
        <w:overflowPunct/>
        <w:topLinePunct w:val="0"/>
        <w:bidi w:val="0"/>
        <w:spacing w:line="600" w:lineRule="exact"/>
        <w:ind w:firstLine="640" w:firstLineChars="200"/>
        <w:jc w:val="left"/>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（二）工作经历（能力）要求</w:t>
      </w:r>
    </w:p>
    <w:p w14:paraId="6E58AA2C">
      <w:pPr>
        <w:keepNext w:val="0"/>
        <w:keepLines w:val="0"/>
        <w:pageBreakBefore w:val="0"/>
        <w:tabs>
          <w:tab w:val="left" w:pos="8820"/>
        </w:tabs>
        <w:kinsoku/>
        <w:wordWrap/>
        <w:overflowPunct/>
        <w:topLinePunct w:val="0"/>
        <w:bidi w:val="0"/>
        <w:spacing w:line="600" w:lineRule="exact"/>
        <w:ind w:firstLine="640" w:firstLineChars="200"/>
        <w:contextualSpacing/>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取得现职称以来，至少具备下列条件之一：</w:t>
      </w:r>
    </w:p>
    <w:p w14:paraId="75F5AEB8">
      <w:pPr>
        <w:keepNext w:val="0"/>
        <w:keepLines w:val="0"/>
        <w:pageBreakBefore w:val="0"/>
        <w:tabs>
          <w:tab w:val="left" w:pos="8820"/>
        </w:tabs>
        <w:kinsoku/>
        <w:wordWrap/>
        <w:overflowPunct/>
        <w:topLinePunct w:val="0"/>
        <w:bidi w:val="0"/>
        <w:spacing w:line="600" w:lineRule="exact"/>
        <w:ind w:firstLine="640" w:firstLineChars="200"/>
        <w:contextualSpacing/>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专业负责或主要参加国家或省部级重点项目或系列产品主要部分的研究、设计、制造和生产管理工作。</w:t>
      </w:r>
    </w:p>
    <w:p w14:paraId="7878CAA8">
      <w:pPr>
        <w:keepNext w:val="0"/>
        <w:keepLines w:val="0"/>
        <w:pageBreakBefore w:val="0"/>
        <w:tabs>
          <w:tab w:val="left" w:pos="8820"/>
        </w:tabs>
        <w:kinsoku/>
        <w:wordWrap/>
        <w:overflowPunct/>
        <w:topLinePunct w:val="0"/>
        <w:bidi w:val="0"/>
        <w:spacing w:line="600" w:lineRule="exact"/>
        <w:ind w:firstLine="640" w:firstLineChars="200"/>
        <w:contextualSpacing/>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专业负责或主要参加本企业产品的开发、设计、制造和生产管理工作，产品性能达到同行先进水平，并取得明显的经济效益。</w:t>
      </w:r>
    </w:p>
    <w:p w14:paraId="288082A2">
      <w:pPr>
        <w:keepNext w:val="0"/>
        <w:keepLines w:val="0"/>
        <w:pageBreakBefore w:val="0"/>
        <w:tabs>
          <w:tab w:val="left" w:pos="8820"/>
        </w:tabs>
        <w:kinsoku/>
        <w:wordWrap/>
        <w:overflowPunct/>
        <w:topLinePunct w:val="0"/>
        <w:bidi w:val="0"/>
        <w:spacing w:line="600" w:lineRule="exact"/>
        <w:ind w:firstLine="640" w:firstLineChars="200"/>
        <w:contextualSpacing/>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rPr>
        <w:t>专业负责或主要参加高性能成套设备、核心关键组件、</w:t>
      </w:r>
      <w:r>
        <w:rPr>
          <w:rFonts w:hint="eastAsia" w:ascii="仿宋_GB2312" w:hAnsi="仿宋_GB2312" w:eastAsia="仿宋_GB2312" w:cs="仿宋_GB2312"/>
          <w:color w:val="auto"/>
          <w:kern w:val="0"/>
          <w:sz w:val="32"/>
          <w:szCs w:val="32"/>
          <w:lang w:val="en-US" w:eastAsia="zh-CN"/>
        </w:rPr>
        <w:t>智能化设备</w:t>
      </w:r>
      <w:r>
        <w:rPr>
          <w:rFonts w:hint="eastAsia" w:ascii="仿宋_GB2312" w:hAnsi="仿宋_GB2312" w:eastAsia="仿宋_GB2312" w:cs="仿宋_GB2312"/>
          <w:color w:val="auto"/>
          <w:kern w:val="0"/>
          <w:sz w:val="32"/>
          <w:szCs w:val="32"/>
        </w:rPr>
        <w:t>模块的研究、方案设计、设备试制落地以及项目全过程技术管理工作。</w:t>
      </w:r>
    </w:p>
    <w:p w14:paraId="5B891CFC">
      <w:pPr>
        <w:keepNext w:val="0"/>
        <w:keepLines w:val="0"/>
        <w:pageBreakBefore w:val="0"/>
        <w:tabs>
          <w:tab w:val="left" w:pos="8820"/>
        </w:tabs>
        <w:kinsoku/>
        <w:wordWrap/>
        <w:overflowPunct/>
        <w:topLinePunct w:val="0"/>
        <w:bidi w:val="0"/>
        <w:spacing w:line="600" w:lineRule="exact"/>
        <w:ind w:firstLine="640" w:firstLineChars="200"/>
        <w:contextualSpacing/>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专业负责或主要参加制定技术标准、技术规范、行业规划等工作。</w:t>
      </w:r>
    </w:p>
    <w:p w14:paraId="46A76901">
      <w:pPr>
        <w:keepNext w:val="0"/>
        <w:keepLines w:val="0"/>
        <w:pageBreakBefore w:val="0"/>
        <w:tabs>
          <w:tab w:val="left" w:pos="8820"/>
        </w:tabs>
        <w:kinsoku/>
        <w:wordWrap/>
        <w:overflowPunct/>
        <w:topLinePunct w:val="0"/>
        <w:bidi w:val="0"/>
        <w:spacing w:line="600" w:lineRule="exact"/>
        <w:ind w:firstLine="640" w:firstLineChars="200"/>
        <w:contextualSpacing/>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专业负责或主要参加完成企业技术审查、技术鉴定和产品（设备）验收等工作。</w:t>
      </w:r>
    </w:p>
    <w:p w14:paraId="7AAF700D">
      <w:pPr>
        <w:keepNext w:val="0"/>
        <w:keepLines w:val="0"/>
        <w:pageBreakBefore w:val="0"/>
        <w:tabs>
          <w:tab w:val="left" w:pos="8820"/>
        </w:tabs>
        <w:kinsoku/>
        <w:wordWrap/>
        <w:overflowPunct/>
        <w:topLinePunct w:val="0"/>
        <w:bidi w:val="0"/>
        <w:spacing w:line="600" w:lineRule="exact"/>
        <w:ind w:firstLine="640" w:firstLineChars="200"/>
        <w:contextualSpacing/>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负责或主要参加推广应用具有较高水平的新技术、新工艺、新产品、新材料，并经省部级及以上行业主管部门鉴定认可。</w:t>
      </w:r>
    </w:p>
    <w:p w14:paraId="5609E307">
      <w:pPr>
        <w:keepNext w:val="0"/>
        <w:keepLines w:val="0"/>
        <w:pageBreakBefore w:val="0"/>
        <w:tabs>
          <w:tab w:val="left" w:pos="8820"/>
        </w:tabs>
        <w:kinsoku/>
        <w:wordWrap/>
        <w:overflowPunct/>
        <w:topLinePunct w:val="0"/>
        <w:bidi w:val="0"/>
        <w:spacing w:line="600" w:lineRule="exact"/>
        <w:ind w:firstLine="640" w:firstLineChars="200"/>
        <w:contextualSpacing/>
        <w:rPr>
          <w:rFonts w:hint="eastAsia" w:ascii="仿宋_GB2312" w:hAnsi="仿宋_GB2312" w:eastAsia="仿宋_GB2312" w:cs="仿宋_GB2312"/>
          <w:lang w:val="en-US" w:eastAsia="zh-CN"/>
        </w:rPr>
      </w:pPr>
      <w:r>
        <w:rPr>
          <w:rFonts w:hint="eastAsia" w:ascii="仿宋_GB2312" w:hAnsi="仿宋_GB2312" w:eastAsia="仿宋_GB2312" w:cs="仿宋_GB2312"/>
          <w:kern w:val="0"/>
          <w:sz w:val="32"/>
          <w:szCs w:val="32"/>
          <w:lang w:val="en-US" w:eastAsia="zh-CN"/>
        </w:rPr>
        <w:t>7.</w:t>
      </w:r>
      <w:r>
        <w:rPr>
          <w:rFonts w:hint="eastAsia" w:ascii="仿宋_GB2312" w:hAnsi="仿宋_GB2312" w:eastAsia="仿宋_GB2312" w:cs="仿宋_GB2312"/>
          <w:kern w:val="0"/>
          <w:sz w:val="32"/>
          <w:szCs w:val="32"/>
        </w:rPr>
        <w:t>长期从事</w:t>
      </w:r>
      <w:r>
        <w:rPr>
          <w:rFonts w:hint="eastAsia" w:ascii="仿宋_GB2312" w:hAnsi="仿宋_GB2312" w:eastAsia="仿宋_GB2312" w:cs="仿宋_GB2312"/>
          <w:kern w:val="0"/>
          <w:sz w:val="32"/>
          <w:szCs w:val="32"/>
          <w:lang w:val="en-US" w:eastAsia="zh-CN"/>
        </w:rPr>
        <w:t>新材料</w:t>
      </w:r>
      <w:r>
        <w:rPr>
          <w:rFonts w:hint="eastAsia" w:ascii="仿宋_GB2312" w:hAnsi="仿宋_GB2312" w:eastAsia="仿宋_GB2312" w:cs="仿宋_GB2312"/>
          <w:kern w:val="0"/>
          <w:sz w:val="32"/>
          <w:szCs w:val="32"/>
        </w:rPr>
        <w:t>产业技术工作，具备指导工程师开展科研和技术活动的能力。</w:t>
      </w:r>
    </w:p>
    <w:p w14:paraId="5AA18644">
      <w:pPr>
        <w:keepNext w:val="0"/>
        <w:keepLines w:val="0"/>
        <w:pageBreakBefore w:val="0"/>
        <w:numPr>
          <w:ilvl w:val="0"/>
          <w:numId w:val="1"/>
        </w:numPr>
        <w:kinsoku/>
        <w:wordWrap/>
        <w:overflowPunct/>
        <w:topLinePunct w:val="0"/>
        <w:bidi w:val="0"/>
        <w:spacing w:line="600" w:lineRule="exact"/>
        <w:ind w:firstLine="640" w:firstLineChars="200"/>
        <w:jc w:val="left"/>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工作业绩与成果要求</w:t>
      </w:r>
    </w:p>
    <w:p w14:paraId="15C7434E">
      <w:pPr>
        <w:keepNext w:val="0"/>
        <w:keepLines w:val="0"/>
        <w:pageBreakBefore w:val="0"/>
        <w:tabs>
          <w:tab w:val="left" w:pos="8820"/>
        </w:tabs>
        <w:kinsoku/>
        <w:wordWrap/>
        <w:overflowPunct/>
        <w:topLinePunct w:val="0"/>
        <w:bidi w:val="0"/>
        <w:spacing w:line="600" w:lineRule="exact"/>
        <w:ind w:firstLine="640" w:firstLineChars="200"/>
        <w:contextualSpacing/>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取得现职称以来，正常申报须具备下列条件中的1项及以上；破格申报须具备下列条件中的2项及以上，且至少有1项须满足第6至第12项中的要求：</w:t>
      </w:r>
    </w:p>
    <w:p w14:paraId="6003F6B5">
      <w:pPr>
        <w:keepNext w:val="0"/>
        <w:keepLines w:val="0"/>
        <w:pageBreakBefore w:val="0"/>
        <w:tabs>
          <w:tab w:val="left" w:pos="8820"/>
        </w:tabs>
        <w:kinsoku/>
        <w:wordWrap/>
        <w:overflowPunct/>
        <w:topLinePunct w:val="0"/>
        <w:bidi w:val="0"/>
        <w:spacing w:line="600" w:lineRule="exact"/>
        <w:ind w:firstLine="640" w:firstLineChars="200"/>
        <w:contextualSpacing/>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专业负责或主要参加完成1项及以上省部级关键技术项目、重点研发或产业项目、重大科技攻关、重大科技专项、重大企业技术设计改造、重大国际合作项目和重点科研项目，经省级以上行业主管部门鉴定或验收合格。</w:t>
      </w:r>
    </w:p>
    <w:p w14:paraId="130B19E5">
      <w:pPr>
        <w:keepNext w:val="0"/>
        <w:keepLines w:val="0"/>
        <w:pageBreakBefore w:val="0"/>
        <w:tabs>
          <w:tab w:val="left" w:pos="8820"/>
        </w:tabs>
        <w:kinsoku/>
        <w:wordWrap/>
        <w:overflowPunct/>
        <w:topLinePunct w:val="0"/>
        <w:bidi w:val="0"/>
        <w:spacing w:line="600" w:lineRule="exact"/>
        <w:ind w:firstLine="640" w:firstLineChars="200"/>
        <w:contextualSpacing/>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专业负责或主要参加完成编制1项及以上新材料研发项目的可行性研究报告、设计文件、工艺文件，报告或者文件通过评审或实施；负责研发的新材料项目通过质量检验并达到合格等级，取得较大的经济效益和社会效益。</w:t>
      </w:r>
    </w:p>
    <w:p w14:paraId="3990F93F">
      <w:pPr>
        <w:keepNext w:val="0"/>
        <w:keepLines w:val="0"/>
        <w:pageBreakBefore w:val="0"/>
        <w:tabs>
          <w:tab w:val="left" w:pos="8820"/>
        </w:tabs>
        <w:kinsoku/>
        <w:wordWrap/>
        <w:overflowPunct/>
        <w:topLinePunct w:val="0"/>
        <w:bidi w:val="0"/>
        <w:spacing w:line="600" w:lineRule="exact"/>
        <w:ind w:firstLine="640" w:firstLineChars="200"/>
        <w:contextualSpacing/>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专业负责或主要参加完成1项以上大中型企业规划设计、技术引进，包括消化引进高科技产品、技术项目的设计、研制和管理等方面工作，创造性地解决技术或管理难题，成果显著，并得到省级以上主管部门鉴定。</w:t>
      </w:r>
    </w:p>
    <w:p w14:paraId="25D7457D">
      <w:pPr>
        <w:keepNext w:val="0"/>
        <w:keepLines w:val="0"/>
        <w:pageBreakBefore w:val="0"/>
        <w:tabs>
          <w:tab w:val="left" w:pos="8820"/>
        </w:tabs>
        <w:kinsoku/>
        <w:wordWrap/>
        <w:overflowPunct/>
        <w:topLinePunct w:val="0"/>
        <w:bidi w:val="0"/>
        <w:spacing w:line="600" w:lineRule="exact"/>
        <w:ind w:firstLine="640" w:firstLineChars="200"/>
        <w:contextualSpacing/>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4.专业负责或主要参加完成1项及以上省级及以上新产品、新技术、新材料（首批次）、新设备（首台套）、新方法、新工艺的设计、研发和推广应用，取得显著的经济效益和社会效益，并经相应行业主管部门鉴定，或获得相关专项奖励。</w:t>
      </w:r>
    </w:p>
    <w:p w14:paraId="69C705A0">
      <w:pPr>
        <w:keepNext w:val="0"/>
        <w:keepLines w:val="0"/>
        <w:pageBreakBefore w:val="0"/>
        <w:widowControl/>
        <w:suppressLineNumbers w:val="0"/>
        <w:kinsoku/>
        <w:wordWrap/>
        <w:overflowPunct/>
        <w:topLinePunct w:val="0"/>
        <w:bidi w:val="0"/>
        <w:spacing w:before="0" w:beforeAutospacing="0" w:after="0" w:afterAutospacing="0" w:line="600" w:lineRule="exact"/>
        <w:ind w:left="0" w:right="0" w:firstLine="640" w:firstLineChars="200"/>
        <w:jc w:val="left"/>
        <w:rPr>
          <w:rFonts w:hint="eastAsia" w:ascii="仿宋_GB2312" w:hAnsi="仿宋_GB2312" w:eastAsia="仿宋_GB2312" w:cs="仿宋_GB2312"/>
          <w:snapToGrid w:val="0"/>
          <w:color w:val="auto"/>
          <w:kern w:val="0"/>
          <w:sz w:val="32"/>
          <w:szCs w:val="32"/>
          <w:highlight w:val="none"/>
          <w:lang w:val="en-US" w:eastAsia="zh-CN" w:bidi="ar"/>
        </w:rPr>
      </w:pPr>
      <w:r>
        <w:rPr>
          <w:rFonts w:hint="eastAsia" w:ascii="仿宋_GB2312" w:hAnsi="仿宋_GB2312" w:eastAsia="仿宋_GB2312" w:cs="仿宋_GB2312"/>
          <w:snapToGrid w:val="0"/>
          <w:color w:val="auto"/>
          <w:kern w:val="0"/>
          <w:sz w:val="32"/>
          <w:szCs w:val="32"/>
          <w:highlight w:val="none"/>
          <w:lang w:val="en-US" w:eastAsia="zh-CN" w:bidi="ar-SA"/>
        </w:rPr>
        <w:t>5.公开出版本专业专著、合著或译著1部及以上；或在公开出版的刊物上发表较高水平的本专业论文</w:t>
      </w:r>
      <w:r>
        <w:rPr>
          <w:rFonts w:hint="eastAsia" w:ascii="仿宋_GB2312" w:hAnsi="仿宋_GB2312" w:eastAsia="仿宋_GB2312" w:cs="仿宋_GB2312"/>
          <w:b w:val="0"/>
          <w:bCs/>
          <w:color w:val="auto"/>
          <w:kern w:val="0"/>
          <w:sz w:val="32"/>
          <w:szCs w:val="32"/>
          <w:highlight w:val="none"/>
          <w:lang w:val="en-US" w:eastAsia="zh-CN" w:bidi="ar"/>
        </w:rPr>
        <w:t>1篇及以上（第1作者）；</w:t>
      </w:r>
      <w:r>
        <w:rPr>
          <w:rFonts w:hint="eastAsia" w:ascii="仿宋_GB2312" w:hAnsi="仿宋_GB2312" w:eastAsia="仿宋_GB2312" w:cs="仿宋_GB2312"/>
          <w:snapToGrid w:val="0"/>
          <w:color w:val="auto"/>
          <w:kern w:val="0"/>
          <w:sz w:val="32"/>
          <w:szCs w:val="32"/>
          <w:highlight w:val="none"/>
          <w:lang w:val="en-US" w:eastAsia="zh-CN" w:bidi="ar-SA"/>
        </w:rPr>
        <w:t>或长期在企业工作，撰写有关诊断和解决现场生产过程中技术问题的5000字及以上重要技术报告、研究文章或科研成果分析文章，获得单位认可。</w:t>
      </w:r>
    </w:p>
    <w:p w14:paraId="44C5B9A4">
      <w:pPr>
        <w:keepNext w:val="0"/>
        <w:keepLines w:val="0"/>
        <w:pageBreakBefore w:val="0"/>
        <w:widowControl w:val="0"/>
        <w:tabs>
          <w:tab w:val="left" w:pos="8820"/>
        </w:tabs>
        <w:kinsoku/>
        <w:wordWrap/>
        <w:overflowPunct/>
        <w:topLinePunct w:val="0"/>
        <w:autoSpaceDE w:val="0"/>
        <w:autoSpaceDN w:val="0"/>
        <w:bidi w:val="0"/>
        <w:adjustRightInd w:val="0"/>
        <w:snapToGrid w:val="0"/>
        <w:spacing w:beforeAutospacing="0" w:afterAutospacing="0" w:line="600" w:lineRule="exact"/>
        <w:ind w:left="0" w:leftChars="0" w:right="0" w:rightChars="0" w:firstLine="640" w:firstLineChars="200"/>
        <w:jc w:val="both"/>
        <w:textAlignment w:val="baseline"/>
        <w:rPr>
          <w:rFonts w:hint="eastAsia" w:ascii="仿宋_GB2312" w:hAnsi="仿宋_GB2312" w:eastAsia="仿宋_GB2312" w:cs="仿宋_GB2312"/>
          <w:snapToGrid w:val="0"/>
          <w:color w:val="auto"/>
          <w:kern w:val="0"/>
          <w:sz w:val="32"/>
          <w:szCs w:val="32"/>
          <w:highlight w:val="none"/>
        </w:rPr>
      </w:pPr>
      <w:r>
        <w:rPr>
          <w:rFonts w:hint="eastAsia" w:ascii="仿宋_GB2312" w:hAnsi="仿宋_GB2312" w:eastAsia="仿宋_GB2312" w:cs="仿宋_GB2312"/>
          <w:snapToGrid w:val="0"/>
          <w:color w:val="auto"/>
          <w:kern w:val="0"/>
          <w:sz w:val="32"/>
          <w:szCs w:val="32"/>
          <w:highlight w:val="none"/>
          <w:lang w:val="en-US" w:eastAsia="zh-CN"/>
        </w:rPr>
        <w:t>6.作为</w:t>
      </w:r>
      <w:r>
        <w:rPr>
          <w:rFonts w:hint="eastAsia" w:ascii="仿宋_GB2312" w:hAnsi="仿宋_GB2312" w:cs="仿宋_GB2312"/>
          <w:snapToGrid w:val="0"/>
          <w:color w:val="000000" w:themeColor="text1"/>
          <w:kern w:val="0"/>
          <w:sz w:val="32"/>
          <w:szCs w:val="32"/>
          <w:highlight w:val="none"/>
          <w:lang w:val="en-US" w:eastAsia="zh-CN"/>
          <w14:textFill>
            <w14:solidFill>
              <w14:schemeClr w14:val="tx1"/>
            </w14:solidFill>
          </w14:textFill>
        </w:rPr>
        <w:t>主要</w:t>
      </w:r>
      <w:r>
        <w:rPr>
          <w:rFonts w:hint="eastAsia" w:ascii="仿宋_GB2312" w:hAnsi="仿宋_GB2312" w:eastAsia="仿宋_GB2312" w:cs="仿宋_GB2312"/>
          <w:snapToGrid w:val="0"/>
          <w:color w:val="auto"/>
          <w:kern w:val="0"/>
          <w:sz w:val="32"/>
          <w:szCs w:val="32"/>
          <w:highlight w:val="none"/>
          <w:lang w:val="en-US" w:eastAsia="zh-CN"/>
        </w:rPr>
        <w:t>发明人</w:t>
      </w:r>
      <w:r>
        <w:rPr>
          <w:rFonts w:hint="eastAsia" w:ascii="仿宋_GB2312" w:hAnsi="仿宋_GB2312" w:eastAsia="仿宋_GB2312" w:cs="仿宋_GB2312"/>
          <w:snapToGrid w:val="0"/>
          <w:color w:val="auto"/>
          <w:kern w:val="0"/>
          <w:sz w:val="32"/>
          <w:szCs w:val="32"/>
          <w:highlight w:val="none"/>
        </w:rPr>
        <w:t>获得与所从事的专业技术工作相关的1项</w:t>
      </w:r>
      <w:r>
        <w:rPr>
          <w:rFonts w:hint="eastAsia" w:ascii="仿宋_GB2312" w:hAnsi="仿宋_GB2312" w:eastAsia="仿宋_GB2312" w:cs="仿宋_GB2312"/>
          <w:snapToGrid w:val="0"/>
          <w:color w:val="auto"/>
          <w:kern w:val="0"/>
          <w:sz w:val="32"/>
          <w:szCs w:val="32"/>
          <w:highlight w:val="none"/>
          <w:lang w:val="en-US" w:eastAsia="zh-CN"/>
        </w:rPr>
        <w:t>及</w:t>
      </w:r>
      <w:r>
        <w:rPr>
          <w:rFonts w:hint="eastAsia" w:ascii="仿宋_GB2312" w:hAnsi="仿宋_GB2312" w:eastAsia="仿宋_GB2312" w:cs="仿宋_GB2312"/>
          <w:snapToGrid w:val="0"/>
          <w:color w:val="auto"/>
          <w:kern w:val="0"/>
          <w:sz w:val="32"/>
          <w:szCs w:val="32"/>
          <w:highlight w:val="none"/>
        </w:rPr>
        <w:t>以上国家发明专利或3项</w:t>
      </w:r>
      <w:r>
        <w:rPr>
          <w:rFonts w:hint="eastAsia" w:ascii="仿宋_GB2312" w:hAnsi="仿宋_GB2312" w:eastAsia="仿宋_GB2312" w:cs="仿宋_GB2312"/>
          <w:snapToGrid w:val="0"/>
          <w:color w:val="auto"/>
          <w:kern w:val="0"/>
          <w:sz w:val="32"/>
          <w:szCs w:val="32"/>
          <w:highlight w:val="none"/>
          <w:lang w:val="en-US" w:eastAsia="zh-CN"/>
        </w:rPr>
        <w:t>及</w:t>
      </w:r>
      <w:r>
        <w:rPr>
          <w:rFonts w:hint="eastAsia" w:ascii="仿宋_GB2312" w:hAnsi="仿宋_GB2312" w:eastAsia="仿宋_GB2312" w:cs="仿宋_GB2312"/>
          <w:snapToGrid w:val="0"/>
          <w:color w:val="auto"/>
          <w:kern w:val="0"/>
          <w:sz w:val="32"/>
          <w:szCs w:val="32"/>
          <w:highlight w:val="none"/>
        </w:rPr>
        <w:t>以上</w:t>
      </w:r>
      <w:r>
        <w:rPr>
          <w:rFonts w:hint="eastAsia" w:ascii="仿宋_GB2312" w:hAnsi="仿宋_GB2312" w:cs="仿宋_GB2312"/>
          <w:snapToGrid w:val="0"/>
          <w:color w:val="auto"/>
          <w:kern w:val="0"/>
          <w:sz w:val="32"/>
          <w:szCs w:val="32"/>
          <w:highlight w:val="none"/>
          <w:lang w:eastAsia="zh-CN"/>
        </w:rPr>
        <w:t>国家</w:t>
      </w:r>
      <w:r>
        <w:rPr>
          <w:rFonts w:hint="eastAsia" w:ascii="仿宋_GB2312" w:hAnsi="仿宋_GB2312" w:eastAsia="仿宋_GB2312" w:cs="仿宋_GB2312"/>
          <w:snapToGrid w:val="0"/>
          <w:color w:val="auto"/>
          <w:kern w:val="0"/>
          <w:sz w:val="32"/>
          <w:szCs w:val="32"/>
          <w:highlight w:val="none"/>
        </w:rPr>
        <w:t>实用新型专利</w:t>
      </w:r>
      <w:r>
        <w:rPr>
          <w:rFonts w:hint="eastAsia" w:ascii="仿宋_GB2312" w:hAnsi="仿宋_GB2312" w:cs="仿宋_GB2312"/>
          <w:snapToGrid w:val="0"/>
          <w:color w:val="auto"/>
          <w:kern w:val="0"/>
          <w:sz w:val="32"/>
          <w:szCs w:val="32"/>
          <w:highlight w:val="none"/>
          <w:lang w:val="en-US" w:eastAsia="zh-CN"/>
        </w:rPr>
        <w:t>/</w:t>
      </w:r>
      <w:r>
        <w:rPr>
          <w:rFonts w:hint="eastAsia" w:ascii="仿宋_GB2312" w:hAnsi="仿宋_GB2312" w:eastAsia="仿宋_GB2312" w:cs="仿宋_GB2312"/>
          <w:snapToGrid w:val="0"/>
          <w:color w:val="auto"/>
          <w:kern w:val="0"/>
          <w:sz w:val="32"/>
          <w:szCs w:val="32"/>
          <w:highlight w:val="none"/>
          <w:lang w:eastAsia="zh-CN"/>
        </w:rPr>
        <w:t>软件著作权，具有显著的经济和社会效益。</w:t>
      </w:r>
    </w:p>
    <w:p w14:paraId="5560C51B">
      <w:pPr>
        <w:keepNext w:val="0"/>
        <w:keepLines w:val="0"/>
        <w:pageBreakBefore w:val="0"/>
        <w:widowControl w:val="0"/>
        <w:tabs>
          <w:tab w:val="left" w:pos="8820"/>
        </w:tabs>
        <w:kinsoku/>
        <w:wordWrap/>
        <w:overflowPunct/>
        <w:topLinePunct w:val="0"/>
        <w:autoSpaceDE w:val="0"/>
        <w:autoSpaceDN w:val="0"/>
        <w:bidi w:val="0"/>
        <w:adjustRightInd w:val="0"/>
        <w:snapToGrid w:val="0"/>
        <w:spacing w:beforeAutospacing="0" w:afterAutospacing="0" w:line="600" w:lineRule="exact"/>
        <w:ind w:left="0" w:leftChars="0" w:right="0" w:rightChars="0" w:firstLine="640" w:firstLineChars="200"/>
        <w:jc w:val="both"/>
        <w:textAlignment w:val="baseline"/>
        <w:rPr>
          <w:rFonts w:hint="eastAsia" w:ascii="仿宋_GB2312" w:hAnsi="仿宋_GB2312" w:eastAsia="仿宋_GB2312" w:cs="仿宋_GB2312"/>
          <w:snapToGrid w:val="0"/>
          <w:color w:val="auto"/>
          <w:kern w:val="0"/>
          <w:sz w:val="32"/>
          <w:szCs w:val="32"/>
          <w:highlight w:val="none"/>
          <w:lang w:eastAsia="zh-CN"/>
        </w:rPr>
      </w:pPr>
      <w:r>
        <w:rPr>
          <w:rFonts w:hint="eastAsia" w:ascii="仿宋_GB2312" w:hAnsi="仿宋_GB2312" w:eastAsia="仿宋_GB2312" w:cs="仿宋_GB2312"/>
          <w:snapToGrid w:val="0"/>
          <w:color w:val="auto"/>
          <w:kern w:val="0"/>
          <w:sz w:val="32"/>
          <w:szCs w:val="32"/>
          <w:highlight w:val="none"/>
          <w:lang w:val="en-US" w:eastAsia="zh-CN"/>
        </w:rPr>
        <w:t>7.专业</w:t>
      </w:r>
      <w:r>
        <w:rPr>
          <w:rFonts w:hint="eastAsia" w:ascii="仿宋_GB2312" w:hAnsi="仿宋_GB2312" w:eastAsia="仿宋_GB2312" w:cs="仿宋_GB2312"/>
          <w:snapToGrid w:val="0"/>
          <w:color w:val="auto"/>
          <w:kern w:val="0"/>
          <w:sz w:val="32"/>
          <w:szCs w:val="32"/>
          <w:highlight w:val="none"/>
        </w:rPr>
        <w:t>负责或主要参加编写制定</w:t>
      </w:r>
      <w:r>
        <w:rPr>
          <w:rFonts w:hint="eastAsia" w:ascii="仿宋_GB2312" w:hAnsi="仿宋_GB2312" w:eastAsia="仿宋_GB2312" w:cs="仿宋_GB2312"/>
          <w:snapToGrid w:val="0"/>
          <w:color w:val="auto"/>
          <w:kern w:val="0"/>
          <w:sz w:val="32"/>
          <w:szCs w:val="32"/>
          <w:highlight w:val="none"/>
          <w:lang w:eastAsia="zh-CN"/>
        </w:rPr>
        <w:t>行业级</w:t>
      </w:r>
      <w:r>
        <w:rPr>
          <w:rFonts w:hint="eastAsia" w:ascii="仿宋_GB2312" w:hAnsi="仿宋_GB2312" w:eastAsia="仿宋_GB2312" w:cs="仿宋_GB2312"/>
          <w:snapToGrid w:val="0"/>
          <w:color w:val="auto"/>
          <w:kern w:val="0"/>
          <w:sz w:val="32"/>
          <w:szCs w:val="32"/>
          <w:highlight w:val="none"/>
          <w:lang w:val="en-US" w:eastAsia="zh-CN"/>
        </w:rPr>
        <w:t>及</w:t>
      </w:r>
      <w:r>
        <w:rPr>
          <w:rFonts w:hint="eastAsia" w:ascii="仿宋_GB2312" w:hAnsi="仿宋_GB2312" w:eastAsia="仿宋_GB2312" w:cs="仿宋_GB2312"/>
          <w:snapToGrid w:val="0"/>
          <w:color w:val="auto"/>
          <w:kern w:val="0"/>
          <w:sz w:val="32"/>
          <w:szCs w:val="32"/>
          <w:highlight w:val="none"/>
        </w:rPr>
        <w:t>以上技术标准、技术规范1项</w:t>
      </w:r>
      <w:r>
        <w:rPr>
          <w:rFonts w:hint="eastAsia" w:ascii="仿宋_GB2312" w:hAnsi="仿宋_GB2312" w:eastAsia="仿宋_GB2312" w:cs="仿宋_GB2312"/>
          <w:snapToGrid w:val="0"/>
          <w:color w:val="auto"/>
          <w:kern w:val="0"/>
          <w:sz w:val="32"/>
          <w:szCs w:val="32"/>
          <w:highlight w:val="none"/>
          <w:lang w:val="en-US" w:eastAsia="zh-CN"/>
        </w:rPr>
        <w:t>及</w:t>
      </w:r>
      <w:r>
        <w:rPr>
          <w:rFonts w:hint="eastAsia" w:ascii="仿宋_GB2312" w:hAnsi="仿宋_GB2312" w:eastAsia="仿宋_GB2312" w:cs="仿宋_GB2312"/>
          <w:snapToGrid w:val="0"/>
          <w:color w:val="auto"/>
          <w:kern w:val="0"/>
          <w:sz w:val="32"/>
          <w:szCs w:val="32"/>
          <w:highlight w:val="none"/>
          <w:lang w:eastAsia="zh-CN"/>
        </w:rPr>
        <w:t>以上</w:t>
      </w:r>
      <w:r>
        <w:rPr>
          <w:rFonts w:hint="eastAsia" w:ascii="仿宋_GB2312" w:hAnsi="仿宋_GB2312" w:eastAsia="仿宋_GB2312" w:cs="仿宋_GB2312"/>
          <w:snapToGrid w:val="0"/>
          <w:color w:val="auto"/>
          <w:kern w:val="0"/>
          <w:sz w:val="32"/>
          <w:szCs w:val="32"/>
          <w:highlight w:val="none"/>
        </w:rPr>
        <w:t>并付诸实施</w:t>
      </w:r>
      <w:r>
        <w:rPr>
          <w:rFonts w:hint="eastAsia" w:ascii="仿宋_GB2312" w:hAnsi="仿宋_GB2312" w:eastAsia="仿宋_GB2312" w:cs="仿宋_GB2312"/>
          <w:snapToGrid w:val="0"/>
          <w:color w:val="auto"/>
          <w:kern w:val="0"/>
          <w:sz w:val="32"/>
          <w:szCs w:val="32"/>
          <w:highlight w:val="none"/>
          <w:lang w:eastAsia="zh-CN"/>
        </w:rPr>
        <w:t>，或主要参加省部级行业培训教材某一科目或几个科目的编写审定工作。</w:t>
      </w:r>
    </w:p>
    <w:p w14:paraId="238453A9">
      <w:pPr>
        <w:keepNext w:val="0"/>
        <w:keepLines w:val="0"/>
        <w:pageBreakBefore w:val="0"/>
        <w:widowControl w:val="0"/>
        <w:tabs>
          <w:tab w:val="left" w:pos="8820"/>
        </w:tabs>
        <w:kinsoku/>
        <w:wordWrap/>
        <w:overflowPunct/>
        <w:topLinePunct w:val="0"/>
        <w:autoSpaceDE w:val="0"/>
        <w:autoSpaceDN w:val="0"/>
        <w:bidi w:val="0"/>
        <w:adjustRightInd w:val="0"/>
        <w:snapToGrid w:val="0"/>
        <w:spacing w:beforeAutospacing="0" w:afterAutospacing="0" w:line="600" w:lineRule="exact"/>
        <w:ind w:left="0" w:leftChars="0" w:right="0" w:rightChars="0" w:firstLine="640" w:firstLineChars="200"/>
        <w:jc w:val="both"/>
        <w:textAlignment w:val="baseline"/>
        <w:rPr>
          <w:rFonts w:hint="eastAsia" w:ascii="仿宋_GB2312" w:hAnsi="仿宋_GB2312" w:eastAsia="仿宋_GB2312" w:cs="仿宋_GB2312"/>
          <w:lang w:eastAsia="zh-CN"/>
        </w:rPr>
      </w:pPr>
      <w:r>
        <w:rPr>
          <w:rFonts w:hint="eastAsia" w:ascii="仿宋_GB2312" w:hAnsi="仿宋_GB2312" w:eastAsia="仿宋_GB2312" w:cs="仿宋_GB2312"/>
          <w:snapToGrid w:val="0"/>
          <w:color w:val="auto"/>
          <w:kern w:val="0"/>
          <w:sz w:val="32"/>
          <w:szCs w:val="32"/>
          <w:highlight w:val="none"/>
          <w:lang w:val="en-US" w:eastAsia="zh-CN"/>
        </w:rPr>
        <w:t>8.长期在艰苦边远地区和基层一线工作，积极推动行业技术进步和本地区经济发展，得到本地区、本系统同行专家的认可，且因专业技术工作突出，受到市级以上人民政府记功或市级以上政府及部门评定的优秀专家、优秀专业技术人员、学科带头人及相当的专业类奖励人员。</w:t>
      </w:r>
    </w:p>
    <w:p w14:paraId="79AB5846">
      <w:pPr>
        <w:keepNext w:val="0"/>
        <w:keepLines w:val="0"/>
        <w:pageBreakBefore w:val="0"/>
        <w:widowControl w:val="0"/>
        <w:tabs>
          <w:tab w:val="left" w:pos="8820"/>
        </w:tabs>
        <w:kinsoku/>
        <w:wordWrap/>
        <w:overflowPunct/>
        <w:topLinePunct w:val="0"/>
        <w:autoSpaceDE w:val="0"/>
        <w:autoSpaceDN w:val="0"/>
        <w:bidi w:val="0"/>
        <w:adjustRightInd w:val="0"/>
        <w:snapToGrid w:val="0"/>
        <w:spacing w:beforeAutospacing="0" w:afterAutospacing="0" w:line="600" w:lineRule="exact"/>
        <w:ind w:left="0" w:leftChars="0" w:right="0" w:rightChars="0" w:firstLine="640" w:firstLineChars="200"/>
        <w:jc w:val="both"/>
        <w:textAlignment w:val="baseline"/>
        <w:rPr>
          <w:rFonts w:hint="eastAsia" w:ascii="仿宋_GB2312" w:hAnsi="仿宋_GB2312" w:eastAsia="仿宋_GB2312" w:cs="仿宋_GB2312"/>
          <w:snapToGrid w:val="0"/>
          <w:color w:val="auto"/>
          <w:kern w:val="0"/>
          <w:sz w:val="32"/>
          <w:szCs w:val="32"/>
          <w:highlight w:val="none"/>
        </w:rPr>
      </w:pPr>
      <w:r>
        <w:rPr>
          <w:rFonts w:hint="eastAsia" w:ascii="仿宋_GB2312" w:hAnsi="仿宋_GB2312" w:eastAsia="仿宋_GB2312" w:cs="仿宋_GB2312"/>
          <w:snapToGrid w:val="0"/>
          <w:color w:val="auto"/>
          <w:kern w:val="0"/>
          <w:sz w:val="32"/>
          <w:szCs w:val="32"/>
          <w:highlight w:val="none"/>
          <w:lang w:val="en-US" w:eastAsia="zh-CN"/>
        </w:rPr>
        <w:t>9.</w:t>
      </w:r>
      <w:r>
        <w:rPr>
          <w:rFonts w:hint="eastAsia" w:ascii="仿宋_GB2312" w:hAnsi="仿宋_GB2312" w:eastAsia="仿宋_GB2312" w:cs="仿宋_GB2312"/>
          <w:snapToGrid w:val="0"/>
          <w:color w:val="auto"/>
          <w:kern w:val="0"/>
          <w:sz w:val="32"/>
          <w:szCs w:val="32"/>
          <w:highlight w:val="none"/>
        </w:rPr>
        <w:t>获得省部级科学技术奖（自然科学奖、技术发明奖、科技进步奖）三等奖以上，或经科技部认定可以推荐国家奖的社会力量科学技术奖最高奖二等奖以上，或市厅级科学技术奖（自然科学奖、技术发明奖、科技进步奖）一等奖。</w:t>
      </w:r>
    </w:p>
    <w:p w14:paraId="0F1DD3D8">
      <w:pPr>
        <w:keepNext w:val="0"/>
        <w:keepLines w:val="0"/>
        <w:pageBreakBefore w:val="0"/>
        <w:widowControl w:val="0"/>
        <w:kinsoku/>
        <w:wordWrap/>
        <w:overflowPunct/>
        <w:topLinePunct w:val="0"/>
        <w:bidi w:val="0"/>
        <w:snapToGrid w:val="0"/>
        <w:spacing w:line="600" w:lineRule="exact"/>
        <w:ind w:firstLine="640" w:firstLineChars="2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napToGrid w:val="0"/>
          <w:color w:val="auto"/>
          <w:kern w:val="0"/>
          <w:sz w:val="32"/>
          <w:szCs w:val="32"/>
          <w:highlight w:val="none"/>
          <w:lang w:val="en-US" w:eastAsia="zh-CN" w:bidi="ar-SA"/>
        </w:rPr>
        <w:t>10.主持完成1项及以上本单位相关产业领域重点项目，为单位取得较好经济效益和社会效益，经济效益总额不少于300万元。</w:t>
      </w:r>
    </w:p>
    <w:p w14:paraId="69636F0A">
      <w:pPr>
        <w:pStyle w:val="2"/>
        <w:keepNext w:val="0"/>
        <w:keepLines w:val="0"/>
        <w:pageBreakBefore w:val="0"/>
        <w:widowControl w:val="0"/>
        <w:kinsoku/>
        <w:wordWrap/>
        <w:overflowPunct/>
        <w:topLinePunct w:val="0"/>
        <w:bidi w:val="0"/>
        <w:spacing w:line="600" w:lineRule="exact"/>
        <w:ind w:left="0" w:leftChars="0" w:firstLine="640" w:firstLineChars="200"/>
        <w:rPr>
          <w:rFonts w:hint="eastAsia" w:ascii="仿宋_GB2312" w:hAnsi="仿宋_GB2312" w:eastAsia="仿宋_GB2312" w:cs="仿宋_GB2312"/>
          <w:snapToGrid w:val="0"/>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32"/>
          <w:szCs w:val="32"/>
          <w:highlight w:val="none"/>
          <w:lang w:val="en-US" w:eastAsia="zh-CN"/>
          <w14:textFill>
            <w14:solidFill>
              <w14:schemeClr w14:val="tx1"/>
            </w14:solidFill>
          </w14:textFill>
        </w:rPr>
        <w:t>11.获得省部级技术能手、市厅级以上技能大师等相当荣誉称号，享受省级以上政府特殊津贴的优秀高技能人才。担任省级技能大师工作室负责人；在省部级以上技能大赛、技术比武中获得一等奖的技术人才。</w:t>
      </w:r>
    </w:p>
    <w:p w14:paraId="288E0CC8">
      <w:pPr>
        <w:pStyle w:val="2"/>
        <w:keepNext w:val="0"/>
        <w:keepLines w:val="0"/>
        <w:pageBreakBefore w:val="0"/>
        <w:widowControl w:val="0"/>
        <w:kinsoku/>
        <w:wordWrap/>
        <w:overflowPunct/>
        <w:topLinePunct w:val="0"/>
        <w:bidi w:val="0"/>
        <w:spacing w:line="600" w:lineRule="exact"/>
        <w:ind w:left="0" w:leftChars="0"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napToGrid w:val="0"/>
          <w:color w:val="auto"/>
          <w:kern w:val="0"/>
          <w:sz w:val="32"/>
          <w:szCs w:val="32"/>
          <w:highlight w:val="none"/>
          <w:lang w:val="en-US" w:eastAsia="zh-CN"/>
        </w:rPr>
        <w:t>12.列入我省市级人才计划的相关产业高层次A、B、C、D、E类人才；其他国家或湖南省需要的工程技术领域高层次人才。</w:t>
      </w:r>
    </w:p>
    <w:p w14:paraId="15EDDC7E">
      <w:pPr>
        <w:keepNext w:val="0"/>
        <w:keepLines w:val="0"/>
        <w:pageBreakBefore w:val="0"/>
        <w:kinsoku/>
        <w:wordWrap/>
        <w:overflowPunct/>
        <w:topLinePunct w:val="0"/>
        <w:bidi w:val="0"/>
        <w:spacing w:line="600" w:lineRule="exact"/>
        <w:ind w:firstLine="643" w:firstLineChars="200"/>
        <w:jc w:val="left"/>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第</w:t>
      </w:r>
      <w:r>
        <w:rPr>
          <w:rFonts w:hint="eastAsia" w:ascii="Times New Roman" w:hAnsi="Times New Roman" w:cs="Times New Roman"/>
          <w:b/>
          <w:bCs/>
          <w:snapToGrid w:val="0"/>
          <w:color w:val="auto"/>
          <w:kern w:val="0"/>
          <w:sz w:val="32"/>
          <w:szCs w:val="32"/>
          <w:highlight w:val="none"/>
          <w:lang w:val="en-US" w:eastAsia="zh-CN"/>
        </w:rPr>
        <w:t>八</w:t>
      </w:r>
      <w:r>
        <w:rPr>
          <w:rFonts w:hint="default" w:ascii="Times New Roman" w:hAnsi="Times New Roman" w:eastAsia="仿宋_GB2312" w:cs="Times New Roman"/>
          <w:b/>
          <w:bCs/>
          <w:snapToGrid w:val="0"/>
          <w:color w:val="auto"/>
          <w:kern w:val="0"/>
          <w:sz w:val="32"/>
          <w:szCs w:val="32"/>
          <w:highlight w:val="none"/>
          <w:lang w:val="en-US" w:eastAsia="zh-CN"/>
        </w:rPr>
        <w:t>条 正高级工程师评价要求：</w:t>
      </w:r>
    </w:p>
    <w:p w14:paraId="22CE349D">
      <w:pPr>
        <w:keepNext w:val="0"/>
        <w:keepLines w:val="0"/>
        <w:pageBreakBefore w:val="0"/>
        <w:kinsoku/>
        <w:wordWrap/>
        <w:overflowPunct/>
        <w:topLinePunct w:val="0"/>
        <w:bidi w:val="0"/>
        <w:spacing w:line="600" w:lineRule="exact"/>
        <w:ind w:firstLine="640" w:firstLineChars="200"/>
        <w:jc w:val="left"/>
        <w:rPr>
          <w:rFonts w:hint="eastAsia" w:ascii="仿宋_GB2312" w:hAnsi="仿宋_GB2312" w:eastAsia="仿宋_GB2312" w:cs="仿宋_GB2312"/>
          <w:b w:val="0"/>
          <w:bCs w:val="0"/>
          <w:snapToGrid w:val="0"/>
          <w:color w:val="auto"/>
          <w:kern w:val="0"/>
          <w:sz w:val="32"/>
          <w:szCs w:val="32"/>
          <w:highlight w:val="none"/>
          <w:lang w:val="en-US" w:eastAsia="zh-CN"/>
        </w:rPr>
      </w:pPr>
      <w:r>
        <w:rPr>
          <w:rFonts w:hint="eastAsia" w:ascii="仿宋_GB2312" w:hAnsi="仿宋_GB2312" w:eastAsia="仿宋_GB2312" w:cs="仿宋_GB2312"/>
          <w:b w:val="0"/>
          <w:bCs w:val="0"/>
          <w:snapToGrid w:val="0"/>
          <w:color w:val="auto"/>
          <w:kern w:val="0"/>
          <w:sz w:val="32"/>
          <w:szCs w:val="32"/>
          <w:highlight w:val="none"/>
          <w:lang w:val="en-US" w:eastAsia="zh-CN"/>
        </w:rPr>
        <w:t>（一）专业</w:t>
      </w:r>
      <w:r>
        <w:rPr>
          <w:rFonts w:hint="eastAsia" w:ascii="仿宋_GB2312" w:hAnsi="仿宋_GB2312" w:cs="仿宋_GB2312"/>
          <w:b w:val="0"/>
          <w:bCs w:val="0"/>
          <w:snapToGrid w:val="0"/>
          <w:color w:val="auto"/>
          <w:kern w:val="0"/>
          <w:sz w:val="32"/>
          <w:szCs w:val="32"/>
          <w:highlight w:val="none"/>
          <w:lang w:val="en-US" w:eastAsia="zh-CN"/>
        </w:rPr>
        <w:t>理论</w:t>
      </w:r>
      <w:r>
        <w:rPr>
          <w:rFonts w:hint="eastAsia" w:ascii="仿宋_GB2312" w:hAnsi="仿宋_GB2312" w:eastAsia="仿宋_GB2312" w:cs="仿宋_GB2312"/>
          <w:b w:val="0"/>
          <w:bCs w:val="0"/>
          <w:snapToGrid w:val="0"/>
          <w:color w:val="auto"/>
          <w:kern w:val="0"/>
          <w:sz w:val="32"/>
          <w:szCs w:val="32"/>
          <w:highlight w:val="none"/>
          <w:lang w:val="en-US" w:eastAsia="zh-CN"/>
        </w:rPr>
        <w:t>知识</w:t>
      </w:r>
      <w:r>
        <w:rPr>
          <w:rFonts w:hint="eastAsia" w:ascii="仿宋_GB2312" w:hAnsi="仿宋_GB2312" w:cs="仿宋_GB2312"/>
          <w:b w:val="0"/>
          <w:bCs w:val="0"/>
          <w:snapToGrid w:val="0"/>
          <w:color w:val="auto"/>
          <w:kern w:val="0"/>
          <w:sz w:val="32"/>
          <w:szCs w:val="32"/>
          <w:highlight w:val="none"/>
          <w:lang w:val="en-US" w:eastAsia="zh-CN"/>
        </w:rPr>
        <w:t>基本</w:t>
      </w:r>
      <w:r>
        <w:rPr>
          <w:rFonts w:hint="eastAsia" w:ascii="仿宋_GB2312" w:hAnsi="仿宋_GB2312" w:eastAsia="仿宋_GB2312" w:cs="仿宋_GB2312"/>
          <w:b w:val="0"/>
          <w:bCs w:val="0"/>
          <w:snapToGrid w:val="0"/>
          <w:color w:val="auto"/>
          <w:kern w:val="0"/>
          <w:sz w:val="32"/>
          <w:szCs w:val="32"/>
          <w:highlight w:val="none"/>
          <w:lang w:val="en-US" w:eastAsia="zh-CN"/>
        </w:rPr>
        <w:t>要求</w:t>
      </w:r>
    </w:p>
    <w:p w14:paraId="250DFF1B">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1.具有系统扎实的专业理论功底,科研水平、学术造诣或科学实践能力强,全面掌握本专业国内外前沿发展动态,取得重大理论研究成果和关键技术突破或其他创造性研究成果。</w:t>
      </w:r>
    </w:p>
    <w:p w14:paraId="418A649D">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2.全面掌握与本专业相关的法规、有关技术标准、技术规范和技术规程,具备对大型工程项目进行评估和鉴定的能力,具备较强的技术经济评价及市场分析能力。</w:t>
      </w:r>
    </w:p>
    <w:p w14:paraId="29DA2359">
      <w:pPr>
        <w:pStyle w:val="2"/>
        <w:keepNext w:val="0"/>
        <w:keepLines w:val="0"/>
        <w:pageBreakBefore w:val="0"/>
        <w:kinsoku/>
        <w:wordWrap/>
        <w:overflowPunct/>
        <w:topLinePunct w:val="0"/>
        <w:bidi w:val="0"/>
        <w:spacing w:line="600" w:lineRule="exact"/>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3.对本专业有深入的研究和独到的见解，在本专业领域具有较高的知名度和影响力。</w:t>
      </w:r>
    </w:p>
    <w:p w14:paraId="54791AB4">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val="0"/>
          <w:bCs w:val="0"/>
          <w:snapToGrid w:val="0"/>
          <w:color w:val="000000" w:themeColor="text1"/>
          <w:kern w:val="0"/>
          <w:sz w:val="32"/>
          <w:szCs w:val="32"/>
          <w:highlight w:val="none"/>
          <w:lang w:val="en-US" w:eastAsia="zh-CN"/>
          <w14:textFill>
            <w14:solidFill>
              <w14:schemeClr w14:val="tx1"/>
            </w14:solidFill>
          </w14:textFill>
        </w:rPr>
        <w:t>（二）</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工作经历（能力）要求</w:t>
      </w:r>
    </w:p>
    <w:p w14:paraId="24084099">
      <w:pPr>
        <w:keepNext w:val="0"/>
        <w:keepLines w:val="0"/>
        <w:pageBreakBefore w:val="0"/>
        <w:tabs>
          <w:tab w:val="left" w:pos="8820"/>
        </w:tabs>
        <w:kinsoku/>
        <w:wordWrap/>
        <w:overflowPunct/>
        <w:topLinePunct w:val="0"/>
        <w:bidi w:val="0"/>
        <w:spacing w:line="600" w:lineRule="exact"/>
        <w:ind w:firstLine="640" w:firstLineChars="200"/>
        <w:contextualSpacing/>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kern w:val="0"/>
          <w:sz w:val="32"/>
          <w:szCs w:val="32"/>
        </w:rPr>
        <w:t>取得现职称以来，至少具备下列条件之一：</w:t>
      </w:r>
    </w:p>
    <w:p w14:paraId="5B09246F">
      <w:pPr>
        <w:keepNext w:val="0"/>
        <w:keepLines w:val="0"/>
        <w:pageBreakBefore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cs="仿宋_GB2312"/>
          <w:color w:val="000000" w:themeColor="text1"/>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主持或专业负责省部级以上大中型工程技术项目或重点科技项目全过程，该工程或项目得到社会认可或取得重大经济效益。</w:t>
      </w:r>
    </w:p>
    <w:p w14:paraId="4B576F42">
      <w:pPr>
        <w:keepNext w:val="0"/>
        <w:keepLines w:val="0"/>
        <w:pageBreakBefore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cs="仿宋_GB2312"/>
          <w:color w:val="000000" w:themeColor="text1"/>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主持或专业负责国内外先进技术或新理论应用于科研和生产实际的工作，开拓新的应用研究领域或解决生产实践中重大技术问题。</w:t>
      </w:r>
    </w:p>
    <w:p w14:paraId="073A8920">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cs="仿宋_GB2312"/>
          <w:color w:val="000000" w:themeColor="text1"/>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主持或专业负责编制本学科或本行业具有国内外先进水平的技术发展规划、行业标准、技术规范，或撰写大中型工程、重大科研课题立项论证报告。</w:t>
      </w:r>
    </w:p>
    <w:p w14:paraId="0A41F166">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cs="仿宋_GB2312"/>
          <w:color w:val="000000" w:themeColor="text1"/>
          <w:highlight w:val="none"/>
          <w:lang w:val="en-US" w:eastAsia="zh-CN"/>
          <w14:textFill>
            <w14:solidFill>
              <w14:schemeClr w14:val="tx1"/>
            </w14:solidFill>
          </w14:textFill>
        </w:rPr>
        <w:t>4.</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主持或专业负责新资源、新产品、新品种、新技术、新材料、新设备、新工艺的勘查、设计、研制、培育、开发或科技成果推广和转化。</w:t>
      </w:r>
    </w:p>
    <w:p w14:paraId="0549B880">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cs="仿宋_GB2312"/>
          <w:color w:val="000000" w:themeColor="text1"/>
          <w:highlight w:val="none"/>
          <w:lang w:val="en-US" w:eastAsia="zh-CN"/>
          <w14:textFill>
            <w14:solidFill>
              <w14:schemeClr w14:val="tx1"/>
            </w14:solidFill>
          </w14:textFill>
        </w:rPr>
        <w:t>5.</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主持或专业负责企业重大技术改造、设备改进、提高产品质量或工艺水平等方面工作，取得突破性成果，获得省级以上行业主管部门的认可。</w:t>
      </w:r>
    </w:p>
    <w:p w14:paraId="0F592554">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cs="仿宋_GB2312"/>
          <w:color w:val="000000" w:themeColor="text1"/>
          <w:highlight w:val="none"/>
          <w:lang w:val="en-US" w:eastAsia="zh-CN"/>
          <w14:textFill>
            <w14:solidFill>
              <w14:schemeClr w14:val="tx1"/>
            </w14:solidFill>
          </w14:textFill>
        </w:rPr>
        <w:t>6.</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长期主持或专业负责技术工作，具备指导高级工程师</w:t>
      </w:r>
    </w:p>
    <w:p w14:paraId="3D78013A">
      <w:pPr>
        <w:keepNext w:val="0"/>
        <w:keepLines w:val="0"/>
        <w:pageBreakBefore w:val="0"/>
        <w:kinsoku/>
        <w:wordWrap/>
        <w:overflowPunct/>
        <w:topLinePunct w:val="0"/>
        <w:autoSpaceDE/>
        <w:autoSpaceDN/>
        <w:bidi w:val="0"/>
        <w:adjustRightInd/>
        <w:snapToGrid/>
        <w:spacing w:beforeAutospacing="0" w:afterAutospacing="0" w:line="600" w:lineRule="exact"/>
        <w:ind w:left="0" w:leftChars="0" w:firstLine="0" w:firstLineChars="0"/>
        <w:textAlignment w:val="auto"/>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开展科研和技术活动的能力。</w:t>
      </w:r>
    </w:p>
    <w:p w14:paraId="14CD09A4">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（三）工作业绩与成果要求</w:t>
      </w:r>
    </w:p>
    <w:p w14:paraId="5F355503">
      <w:pPr>
        <w:keepNext w:val="0"/>
        <w:keepLines w:val="0"/>
        <w:pageBreakBefore w:val="0"/>
        <w:tabs>
          <w:tab w:val="left" w:pos="8820"/>
        </w:tabs>
        <w:kinsoku/>
        <w:wordWrap/>
        <w:overflowPunct/>
        <w:topLinePunct w:val="0"/>
        <w:bidi w:val="0"/>
        <w:spacing w:line="600" w:lineRule="exact"/>
        <w:ind w:firstLine="640" w:firstLineChars="200"/>
        <w:contextualSpacing/>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lang w:val="en-US" w:eastAsia="zh-CN"/>
        </w:rPr>
        <w:t>取得现职称以来，正常申报须具备下列条件中的1项及以上；破格申报须具备下列条件中的2项及以上，且至少有1项须满足第8至第1</w:t>
      </w:r>
      <w:r>
        <w:rPr>
          <w:rFonts w:hint="eastAsia" w:ascii="仿宋_GB2312" w:hAnsi="仿宋_GB2312" w:cs="仿宋_GB2312"/>
          <w:kern w:val="0"/>
          <w:sz w:val="32"/>
          <w:szCs w:val="32"/>
          <w:lang w:val="en-US" w:eastAsia="zh-CN"/>
        </w:rPr>
        <w:t>1</w:t>
      </w:r>
      <w:r>
        <w:rPr>
          <w:rFonts w:hint="eastAsia" w:ascii="仿宋_GB2312" w:hAnsi="仿宋_GB2312" w:eastAsia="仿宋_GB2312" w:cs="仿宋_GB2312"/>
          <w:kern w:val="0"/>
          <w:sz w:val="32"/>
          <w:szCs w:val="32"/>
          <w:lang w:val="en-US" w:eastAsia="zh-CN"/>
        </w:rPr>
        <w:t>项中的要求：</w:t>
      </w:r>
    </w:p>
    <w:p w14:paraId="442A025B">
      <w:pPr>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40" w:firstLineChars="200"/>
        <w:jc w:val="both"/>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1.主持或专业负责2项以上国家级科研项目、重点工程、重大科技攻关、重大科技专项、重大企业技术设计改造、重大国际合作项目，经国家行业主管部门鉴定，达到国内领先水平。</w:t>
      </w:r>
    </w:p>
    <w:p w14:paraId="285868AF">
      <w:pPr>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40" w:firstLineChars="200"/>
        <w:jc w:val="both"/>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2.主持或专业负责3项以上省部级重点科研项目、重点攻关项目，经省级行业主管部门鉴定或验收合格。</w:t>
      </w:r>
    </w:p>
    <w:p w14:paraId="73C526E2">
      <w:pPr>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40" w:firstLineChars="200"/>
        <w:jc w:val="both"/>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3.担任3项以上大中型工程项目的技术负责人，主持或专业负责制定技术方案和技术报告。</w:t>
      </w:r>
    </w:p>
    <w:p w14:paraId="7020C1FD">
      <w:pPr>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40" w:firstLineChars="200"/>
        <w:jc w:val="both"/>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4.主持或专业负责3项以上大中型企业规划设计以及技术引进，包括消化引进高科技产品、技术项目的设计、研制和管理等方面工作，创造性地解决技术或管理难题，成果显著，并得到省级以上行业主管部门鉴定。</w:t>
      </w:r>
    </w:p>
    <w:p w14:paraId="2ACF56F7">
      <w:pPr>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40" w:firstLineChars="200"/>
        <w:jc w:val="both"/>
        <w:rPr>
          <w:rFonts w:hint="default" w:ascii="Times New Roman" w:hAnsi="Times New Roman" w:eastAsia="仿宋_GB2312" w:cs="Times New Roman"/>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5.主持或专业负责3项以上省级新产品、新技术、新材料、新设备（首台套）、新方法、新工艺的设计和推广，取得显著的经济效益和社会效益，并经省级以上行业主管部门</w:t>
      </w:r>
      <w:r>
        <w:rPr>
          <w:rFonts w:hint="default" w:ascii="Times New Roman" w:hAnsi="Times New Roman" w:eastAsia="仿宋_GB2312" w:cs="Times New Roman"/>
          <w:color w:val="auto"/>
          <w:kern w:val="0"/>
          <w:sz w:val="32"/>
          <w:szCs w:val="32"/>
          <w:highlight w:val="none"/>
          <w:lang w:val="en-US" w:eastAsia="zh-CN" w:bidi="ar-SA"/>
        </w:rPr>
        <w:t>鉴定。</w:t>
      </w:r>
    </w:p>
    <w:p w14:paraId="77BF8304">
      <w:pPr>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40" w:firstLineChars="200"/>
        <w:jc w:val="both"/>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6.主持或专业负责编制或修订省部级以上的行业技术标准或技术规范且正式实施。其中：作为主持，承担完成2项国家行业技术标准或技术规范的编制；作为专业负责，承担完成3项省部级以上行业技术标准或技术规范的编制。</w:t>
      </w:r>
    </w:p>
    <w:p w14:paraId="6B26D80D">
      <w:pPr>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40" w:firstLineChars="200"/>
        <w:jc w:val="both"/>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color w:val="auto"/>
          <w:kern w:val="2"/>
          <w:sz w:val="32"/>
          <w:szCs w:val="32"/>
          <w:highlight w:val="none"/>
          <w:lang w:val="en-US" w:eastAsia="zh-CN" w:bidi="ar-SA"/>
        </w:rPr>
        <w:t>7.公开出版</w:t>
      </w:r>
      <w:r>
        <w:rPr>
          <w:rFonts w:hint="eastAsia" w:ascii="仿宋_GB2312" w:hAnsi="仿宋_GB2312" w:cs="仿宋_GB2312"/>
          <w:color w:val="auto"/>
          <w:kern w:val="2"/>
          <w:sz w:val="32"/>
          <w:szCs w:val="32"/>
          <w:highlight w:val="none"/>
          <w:lang w:val="en-US" w:eastAsia="zh-CN" w:bidi="ar-SA"/>
        </w:rPr>
        <w:t>10万字以上的</w:t>
      </w:r>
      <w:r>
        <w:rPr>
          <w:rFonts w:hint="eastAsia" w:ascii="仿宋_GB2312" w:hAnsi="仿宋_GB2312" w:eastAsia="仿宋_GB2312" w:cs="仿宋_GB2312"/>
          <w:color w:val="auto"/>
          <w:kern w:val="2"/>
          <w:sz w:val="32"/>
          <w:szCs w:val="32"/>
          <w:highlight w:val="none"/>
          <w:lang w:val="en-US" w:eastAsia="zh-CN" w:bidi="ar-SA"/>
        </w:rPr>
        <w:t>本专业专著、合著（第1作者）或译著（独立作者）1部；或在公开出版的期刊上发表高水平的本专业论文3篇（第1作者）；或长期在企业工作，提供1篇由本人撰写、经省级行业主管部门鉴定且不少于1万字的本专业研究文章或科研成果分析文章。</w:t>
      </w:r>
    </w:p>
    <w:p w14:paraId="3F5EA9A6">
      <w:pPr>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40" w:firstLineChars="200"/>
        <w:jc w:val="both"/>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8.获得国家科学技术奖（自然科学奖、技术发明奖、科技进步奖），或省部级科学技术奖（自然科学奖、技术发明奖、科技进步奖）二等奖以上</w:t>
      </w:r>
      <w:r>
        <w:rPr>
          <w:rFonts w:hint="eastAsia" w:ascii="仿宋_GB2312" w:hAnsi="仿宋_GB2312" w:cs="仿宋_GB2312"/>
          <w:color w:val="auto"/>
          <w:kern w:val="0"/>
          <w:sz w:val="32"/>
          <w:szCs w:val="32"/>
          <w:highlight w:val="none"/>
          <w:lang w:val="en-US" w:eastAsia="zh-CN" w:bidi="ar-SA"/>
        </w:rPr>
        <w:t>（破格要求排名前五）</w:t>
      </w:r>
      <w:r>
        <w:rPr>
          <w:rFonts w:hint="eastAsia" w:ascii="仿宋_GB2312" w:hAnsi="仿宋_GB2312" w:eastAsia="仿宋_GB2312" w:cs="仿宋_GB2312"/>
          <w:color w:val="auto"/>
          <w:kern w:val="0"/>
          <w:sz w:val="32"/>
          <w:szCs w:val="32"/>
          <w:highlight w:val="none"/>
          <w:lang w:val="en-US" w:eastAsia="zh-CN" w:bidi="ar-SA"/>
        </w:rPr>
        <w:t>，或经科技部认定可以推荐国家奖的社会力量科学技术奖最高奖</w:t>
      </w:r>
      <w:r>
        <w:rPr>
          <w:rFonts w:hint="eastAsia" w:ascii="仿宋_GB2312" w:hAnsi="仿宋_GB2312" w:cs="仿宋_GB2312"/>
          <w:color w:val="auto"/>
          <w:kern w:val="0"/>
          <w:sz w:val="32"/>
          <w:szCs w:val="32"/>
          <w:highlight w:val="none"/>
          <w:lang w:val="en-US" w:eastAsia="zh-CN" w:bidi="ar-SA"/>
        </w:rPr>
        <w:t>（破格要求排名前五）</w:t>
      </w:r>
      <w:r>
        <w:rPr>
          <w:rFonts w:hint="eastAsia" w:ascii="仿宋_GB2312" w:hAnsi="仿宋_GB2312" w:eastAsia="仿宋_GB2312" w:cs="仿宋_GB2312"/>
          <w:color w:val="auto"/>
          <w:kern w:val="0"/>
          <w:sz w:val="32"/>
          <w:szCs w:val="32"/>
          <w:highlight w:val="none"/>
          <w:lang w:val="en-US" w:eastAsia="zh-CN" w:bidi="ar-SA"/>
        </w:rPr>
        <w:t>。</w:t>
      </w:r>
    </w:p>
    <w:p w14:paraId="70E69DA1">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9.主持完成1项以上国家级课题或2项以上省部级重点课题，或专业负责完成2项以上国家级课题或3项以上省部级重点课题并通过相应行业主管部门评审或验收。</w:t>
      </w:r>
    </w:p>
    <w:p w14:paraId="16D7A2C4">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10.作为第1发明人获得与所从事专业技术工作相关的2项国家发明专利或5项实用新型专利，所获专利已转化应用并取得较高的经济和社会效益。</w:t>
      </w:r>
    </w:p>
    <w:p w14:paraId="619A8042">
      <w:pPr>
        <w:keepNext w:val="0"/>
        <w:keepLines w:val="0"/>
        <w:pageBreakBefore w:val="0"/>
        <w:widowControl w:val="0"/>
        <w:numPr>
          <w:ilvl w:val="0"/>
          <w:numId w:val="0"/>
        </w:numPr>
        <w:kinsoku/>
        <w:wordWrap/>
        <w:overflowPunct/>
        <w:topLinePunct w:val="0"/>
        <w:autoSpaceDE/>
        <w:autoSpaceDN/>
        <w:bidi w:val="0"/>
        <w:spacing w:after="0" w:line="600" w:lineRule="exact"/>
        <w:ind w:left="0" w:right="0" w:firstLine="640" w:firstLineChars="200"/>
        <w:jc w:val="both"/>
        <w:rPr>
          <w:rFonts w:hint="default" w:ascii="Times New Roman" w:hAnsi="Times New Roman" w:eastAsia="仿宋_GB2312" w:cs="Times New Roman"/>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11.享受国务院特殊津贴专家，或国家级有突出贡献中青年专家，或获得全国先进工作者或劳动模范称号人员，或获得省部级以上专业技术荣誉称号人员。</w:t>
      </w:r>
    </w:p>
    <w:p w14:paraId="75744EBE">
      <w:pPr>
        <w:keepNext w:val="0"/>
        <w:keepLines w:val="0"/>
        <w:pageBreakBefore w:val="0"/>
        <w:kinsoku/>
        <w:wordWrap/>
        <w:overflowPunct/>
        <w:topLinePunct w:val="0"/>
        <w:bidi w:val="0"/>
        <w:spacing w:line="600" w:lineRule="exact"/>
        <w:ind w:firstLine="643" w:firstLineChars="200"/>
        <w:jc w:val="left"/>
        <w:rPr>
          <w:rFonts w:hint="eastAsia" w:ascii="仿宋_GB2312" w:hAnsi="仿宋_GB2312" w:eastAsia="仿宋_GB2312" w:cs="仿宋_GB2312"/>
          <w:b w:val="0"/>
          <w:bCs w:val="0"/>
          <w:snapToGrid w:val="0"/>
          <w:color w:val="auto"/>
          <w:kern w:val="0"/>
          <w:sz w:val="32"/>
          <w:szCs w:val="32"/>
          <w:highlight w:val="none"/>
          <w:lang w:val="en-US" w:eastAsia="zh-CN"/>
        </w:rPr>
      </w:pPr>
      <w:r>
        <w:rPr>
          <w:rFonts w:hint="eastAsia" w:ascii="仿宋_GB2312" w:hAnsi="仿宋_GB2312" w:eastAsia="仿宋_GB2312" w:cs="仿宋_GB2312"/>
          <w:b/>
          <w:bCs/>
          <w:snapToGrid w:val="0"/>
          <w:color w:val="auto"/>
          <w:kern w:val="0"/>
          <w:sz w:val="32"/>
          <w:szCs w:val="32"/>
          <w:highlight w:val="none"/>
          <w:lang w:val="en-US" w:eastAsia="zh-CN"/>
        </w:rPr>
        <w:t>第</w:t>
      </w:r>
      <w:r>
        <w:rPr>
          <w:rFonts w:hint="eastAsia" w:ascii="仿宋_GB2312" w:hAnsi="仿宋_GB2312" w:cs="仿宋_GB2312"/>
          <w:b/>
          <w:bCs/>
          <w:snapToGrid w:val="0"/>
          <w:color w:val="auto"/>
          <w:kern w:val="0"/>
          <w:sz w:val="32"/>
          <w:szCs w:val="32"/>
          <w:highlight w:val="none"/>
          <w:lang w:val="en-US" w:eastAsia="zh-CN"/>
        </w:rPr>
        <w:t>九</w:t>
      </w:r>
      <w:r>
        <w:rPr>
          <w:rFonts w:hint="eastAsia" w:ascii="仿宋_GB2312" w:hAnsi="仿宋_GB2312" w:eastAsia="仿宋_GB2312" w:cs="仿宋_GB2312"/>
          <w:b/>
          <w:bCs/>
          <w:snapToGrid w:val="0"/>
          <w:color w:val="auto"/>
          <w:kern w:val="0"/>
          <w:sz w:val="32"/>
          <w:szCs w:val="32"/>
          <w:highlight w:val="none"/>
          <w:lang w:val="en-US" w:eastAsia="zh-CN"/>
        </w:rPr>
        <w:t xml:space="preserve">条 </w:t>
      </w:r>
      <w:r>
        <w:rPr>
          <w:rFonts w:hint="eastAsia" w:ascii="仿宋_GB2312" w:hAnsi="仿宋_GB2312" w:eastAsia="仿宋_GB2312" w:cs="仿宋_GB2312"/>
          <w:b w:val="0"/>
          <w:bCs w:val="0"/>
          <w:snapToGrid w:val="0"/>
          <w:color w:val="auto"/>
          <w:kern w:val="0"/>
          <w:sz w:val="32"/>
          <w:szCs w:val="32"/>
          <w:highlight w:val="none"/>
          <w:lang w:val="en-US" w:eastAsia="zh-CN"/>
        </w:rPr>
        <w:t>外语、计算机水平和继续教育要求</w:t>
      </w:r>
    </w:p>
    <w:p w14:paraId="3E360C8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专业技术人员应具备良好的获取信息能力，不断更新知识，适应岗位需求。计算机（数字技术）应用能力、外语、继续教育不作为申报高级职称的必备条件，将在职称量化评审环节赋予一定评价分值。</w:t>
      </w:r>
    </w:p>
    <w:p w14:paraId="1EA301EE">
      <w:pPr>
        <w:keepNext w:val="0"/>
        <w:keepLines w:val="0"/>
        <w:pageBreakBefore w:val="0"/>
        <w:widowControl w:val="0"/>
        <w:tabs>
          <w:tab w:val="left" w:pos="8820"/>
        </w:tabs>
        <w:kinsoku/>
        <w:wordWrap/>
        <w:overflowPunct/>
        <w:topLinePunct w:val="0"/>
        <w:autoSpaceDE/>
        <w:autoSpaceDN/>
        <w:bidi w:val="0"/>
        <w:adjustRightInd/>
        <w:snapToGrid/>
        <w:spacing w:beforeAutospacing="0" w:line="600" w:lineRule="exact"/>
        <w:ind w:right="0" w:rightChars="0" w:firstLine="0" w:firstLineChars="0"/>
        <w:jc w:val="center"/>
        <w:textAlignment w:val="auto"/>
        <w:rPr>
          <w:rFonts w:hint="default" w:ascii="Times New Roman" w:hAnsi="Times New Roman" w:eastAsia="黑体" w:cs="Times New Roman"/>
          <w:bCs/>
          <w:kern w:val="0"/>
          <w:sz w:val="32"/>
          <w:szCs w:val="32"/>
          <w:lang w:val="en-US" w:eastAsia="zh-CN"/>
        </w:rPr>
      </w:pPr>
      <w:r>
        <w:rPr>
          <w:rFonts w:hint="default" w:ascii="Times New Roman" w:hAnsi="Times New Roman" w:eastAsia="黑体" w:cs="Times New Roman"/>
          <w:bCs/>
          <w:kern w:val="0"/>
          <w:sz w:val="32"/>
          <w:szCs w:val="32"/>
          <w:lang w:val="en-US" w:eastAsia="zh-CN"/>
        </w:rPr>
        <w:t>第四章  申报纪律要求</w:t>
      </w:r>
    </w:p>
    <w:p w14:paraId="4959328E">
      <w:pPr>
        <w:keepNext w:val="0"/>
        <w:keepLines w:val="0"/>
        <w:pageBreakBefore w:val="0"/>
        <w:widowControl w:val="0"/>
        <w:tabs>
          <w:tab w:val="left" w:pos="8820"/>
        </w:tabs>
        <w:kinsoku/>
        <w:wordWrap/>
        <w:overflowPunct/>
        <w:topLinePunct w:val="0"/>
        <w:autoSpaceDE/>
        <w:autoSpaceDN/>
        <w:bidi w:val="0"/>
        <w:adjustRightInd/>
        <w:snapToGrid/>
        <w:spacing w:beforeAutospacing="0" w:line="600" w:lineRule="exact"/>
        <w:ind w:right="35" w:rightChars="11" w:firstLine="598" w:firstLineChars="196"/>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b/>
          <w:bCs/>
          <w:spacing w:val="-8"/>
          <w:sz w:val="32"/>
          <w:szCs w:val="32"/>
        </w:rPr>
        <w:t>第十条</w:t>
      </w:r>
      <w:r>
        <w:rPr>
          <w:rFonts w:hint="eastAsia" w:ascii="仿宋_GB2312" w:hAnsi="仿宋_GB2312" w:eastAsia="仿宋_GB2312" w:cs="仿宋_GB2312"/>
          <w:spacing w:val="-8"/>
          <w:sz w:val="32"/>
          <w:szCs w:val="32"/>
        </w:rPr>
        <w:t xml:space="preserve"> </w:t>
      </w:r>
      <w:r>
        <w:rPr>
          <w:rFonts w:hint="eastAsia" w:ascii="仿宋_GB2312" w:hAnsi="仿宋_GB2312" w:eastAsia="仿宋_GB2312" w:cs="仿宋_GB2312"/>
          <w:kern w:val="0"/>
          <w:sz w:val="32"/>
          <w:szCs w:val="32"/>
          <w:lang w:eastAsia="zh-CN"/>
        </w:rPr>
        <w:t>职称评审实行申报承诺制。申报人对所提供的材料和所填报的资料的真实性、准确性、有效性负责，且须在《专业技术职称评审表》“个人承诺”栏内签名确认。</w:t>
      </w:r>
    </w:p>
    <w:p w14:paraId="03DC4644">
      <w:pPr>
        <w:keepNext w:val="0"/>
        <w:keepLines w:val="0"/>
        <w:pageBreakBefore w:val="0"/>
        <w:widowControl w:val="0"/>
        <w:tabs>
          <w:tab w:val="left" w:pos="8820"/>
        </w:tabs>
        <w:kinsoku/>
        <w:wordWrap/>
        <w:overflowPunct/>
        <w:topLinePunct w:val="0"/>
        <w:autoSpaceDE/>
        <w:autoSpaceDN/>
        <w:bidi w:val="0"/>
        <w:adjustRightInd/>
        <w:snapToGrid/>
        <w:spacing w:beforeAutospacing="0" w:line="600" w:lineRule="exact"/>
        <w:ind w:right="35" w:rightChars="11" w:firstLine="627" w:firstLineChars="196"/>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有下列情形之一，取消申报人3年内参评资格，已通过评审的，予以撤销并收回证书，失信行为记入职称评审诚信档案库，记录期限为3年，作为以后申报评审职称的重要参考：</w:t>
      </w:r>
    </w:p>
    <w:p w14:paraId="560F94BA">
      <w:pPr>
        <w:keepNext w:val="0"/>
        <w:keepLines w:val="0"/>
        <w:pageBreakBefore w:val="0"/>
        <w:widowControl w:val="0"/>
        <w:tabs>
          <w:tab w:val="left" w:pos="8820"/>
        </w:tabs>
        <w:kinsoku/>
        <w:wordWrap/>
        <w:overflowPunct/>
        <w:topLinePunct w:val="0"/>
        <w:autoSpaceDE/>
        <w:autoSpaceDN/>
        <w:bidi w:val="0"/>
        <w:spacing w:beforeAutospacing="0" w:line="600" w:lineRule="exact"/>
        <w:ind w:right="35" w:rightChars="11" w:firstLine="627" w:firstLineChars="196"/>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lang w:eastAsia="zh-CN"/>
        </w:rPr>
        <w:t>明知不符合职称申报条件仍故意通过虚假承诺、伪造信息等手段进行申报；</w:t>
      </w:r>
    </w:p>
    <w:p w14:paraId="361CB4BC">
      <w:pPr>
        <w:keepNext w:val="0"/>
        <w:keepLines w:val="0"/>
        <w:pageBreakBefore w:val="0"/>
        <w:widowControl w:val="0"/>
        <w:tabs>
          <w:tab w:val="left" w:pos="8820"/>
        </w:tabs>
        <w:kinsoku/>
        <w:wordWrap/>
        <w:overflowPunct/>
        <w:topLinePunct w:val="0"/>
        <w:autoSpaceDE/>
        <w:autoSpaceDN/>
        <w:bidi w:val="0"/>
        <w:spacing w:beforeAutospacing="0" w:line="600" w:lineRule="exact"/>
        <w:ind w:right="35" w:rightChars="11" w:firstLine="627" w:firstLineChars="196"/>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lang w:eastAsia="zh-CN"/>
        </w:rPr>
        <w:t>在职称申报评审中提供虚假学历、职称或其他材料、论文造假代写、剽窃他人作品或者学术成果，业绩成果不实或者造假等；</w:t>
      </w:r>
    </w:p>
    <w:p w14:paraId="562318AA">
      <w:pPr>
        <w:keepNext w:val="0"/>
        <w:keepLines w:val="0"/>
        <w:pageBreakBefore w:val="0"/>
        <w:widowControl w:val="0"/>
        <w:tabs>
          <w:tab w:val="left" w:pos="8820"/>
        </w:tabs>
        <w:kinsoku/>
        <w:wordWrap/>
        <w:overflowPunct/>
        <w:topLinePunct w:val="0"/>
        <w:autoSpaceDE/>
        <w:autoSpaceDN/>
        <w:bidi w:val="0"/>
        <w:spacing w:beforeAutospacing="0" w:line="600" w:lineRule="exact"/>
        <w:ind w:right="35" w:rightChars="11" w:firstLine="627" w:firstLineChars="196"/>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lang w:eastAsia="zh-CN"/>
        </w:rPr>
        <w:t>在职称申报评审中存在说情打招呼、暗箱操作等不正当行为；</w:t>
      </w:r>
    </w:p>
    <w:p w14:paraId="5923C39F">
      <w:pPr>
        <w:keepNext w:val="0"/>
        <w:keepLines w:val="0"/>
        <w:pageBreakBefore w:val="0"/>
        <w:widowControl w:val="0"/>
        <w:tabs>
          <w:tab w:val="left" w:pos="8820"/>
        </w:tabs>
        <w:kinsoku/>
        <w:wordWrap/>
        <w:overflowPunct/>
        <w:topLinePunct w:val="0"/>
        <w:autoSpaceDE/>
        <w:autoSpaceDN/>
        <w:bidi w:val="0"/>
        <w:spacing w:beforeAutospacing="0" w:line="600" w:lineRule="exact"/>
        <w:ind w:right="35" w:rightChars="11" w:firstLine="627" w:firstLineChars="196"/>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四、其他违规行为。</w:t>
      </w:r>
    </w:p>
    <w:p w14:paraId="05848F3D">
      <w:pPr>
        <w:keepNext w:val="0"/>
        <w:keepLines w:val="0"/>
        <w:pageBreakBefore w:val="0"/>
        <w:widowControl w:val="0"/>
        <w:kinsoku/>
        <w:wordWrap/>
        <w:overflowPunct/>
        <w:topLinePunct w:val="0"/>
        <w:autoSpaceDE/>
        <w:autoSpaceDN/>
        <w:bidi w:val="0"/>
        <w:spacing w:beforeAutospacing="0" w:line="600" w:lineRule="exact"/>
        <w:ind w:left="4" w:right="46" w:firstLine="599"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rPr>
        <w:t>第</w:t>
      </w:r>
      <w:r>
        <w:rPr>
          <w:rFonts w:hint="eastAsia" w:ascii="仿宋_GB2312" w:hAnsi="仿宋_GB2312" w:eastAsia="仿宋_GB2312" w:cs="仿宋_GB2312"/>
          <w:b/>
          <w:bCs/>
          <w:spacing w:val="7"/>
          <w:sz w:val="32"/>
          <w:szCs w:val="32"/>
          <w:lang w:eastAsia="zh-CN"/>
        </w:rPr>
        <w:t>十</w:t>
      </w:r>
      <w:r>
        <w:rPr>
          <w:rFonts w:hint="eastAsia" w:ascii="仿宋_GB2312" w:hAnsi="仿宋_GB2312" w:cs="仿宋_GB2312"/>
          <w:b/>
          <w:bCs/>
          <w:spacing w:val="7"/>
          <w:sz w:val="32"/>
          <w:szCs w:val="32"/>
          <w:lang w:val="en-US" w:eastAsia="zh-CN"/>
        </w:rPr>
        <w:t>一</w:t>
      </w:r>
      <w:r>
        <w:rPr>
          <w:rFonts w:hint="eastAsia" w:ascii="仿宋_GB2312" w:hAnsi="仿宋_GB2312" w:eastAsia="仿宋_GB2312" w:cs="仿宋_GB2312"/>
          <w:b/>
          <w:bCs/>
          <w:spacing w:val="7"/>
          <w:sz w:val="32"/>
          <w:szCs w:val="32"/>
        </w:rPr>
        <w:t>条</w:t>
      </w:r>
      <w:r>
        <w:rPr>
          <w:rFonts w:hint="eastAsia" w:ascii="仿宋_GB2312" w:hAnsi="仿宋_GB2312" w:eastAsia="仿宋_GB2312" w:cs="仿宋_GB2312"/>
          <w:spacing w:val="7"/>
          <w:sz w:val="32"/>
          <w:szCs w:val="32"/>
          <w:lang w:val="en-US" w:eastAsia="zh-CN"/>
        </w:rPr>
        <w:t xml:space="preserve"> </w:t>
      </w:r>
      <w:r>
        <w:rPr>
          <w:rFonts w:hint="eastAsia" w:ascii="仿宋_GB2312" w:hAnsi="仿宋_GB2312" w:eastAsia="仿宋_GB2312" w:cs="仿宋_GB2312"/>
          <w:kern w:val="0"/>
          <w:sz w:val="32"/>
          <w:szCs w:val="32"/>
          <w:lang w:eastAsia="zh-CN"/>
        </w:rPr>
        <w:t>严格执行公示制度。申报人的基本情况(包括申报人姓名、学历、工作单位、职务、现职称和现职称的取得时间、专业水平、业务能力和工作业绩等情况)应在本单位公示不少于5个工作日，对公示无异议的，方可按照管理权限申报。未经公示程序的，不得推荐申报参评，评委会组建单位擅自通过的评审结果不予备案。</w:t>
      </w:r>
    </w:p>
    <w:p w14:paraId="0BCBC3EB">
      <w:pPr>
        <w:keepNext w:val="0"/>
        <w:keepLines w:val="0"/>
        <w:pageBreakBefore w:val="0"/>
        <w:widowControl w:val="0"/>
        <w:kinsoku/>
        <w:wordWrap/>
        <w:overflowPunct/>
        <w:topLinePunct w:val="0"/>
        <w:autoSpaceDE/>
        <w:autoSpaceDN/>
        <w:bidi w:val="0"/>
        <w:spacing w:beforeAutospacing="0" w:line="600" w:lineRule="exact"/>
        <w:ind w:right="37" w:firstLine="619" w:firstLineChars="0"/>
        <w:textAlignment w:val="auto"/>
        <w:rPr>
          <w:rFonts w:hint="default" w:ascii="Times New Roman" w:hAnsi="Times New Roman" w:eastAsia="仿宋_GB2312" w:cs="Times New Roman"/>
          <w:sz w:val="32"/>
          <w:szCs w:val="32"/>
        </w:rPr>
      </w:pPr>
      <w:r>
        <w:rPr>
          <w:rFonts w:hint="eastAsia" w:ascii="仿宋_GB2312" w:hAnsi="仿宋_GB2312" w:eastAsia="仿宋_GB2312" w:cs="仿宋_GB2312"/>
          <w:b/>
          <w:bCs/>
          <w:spacing w:val="-5"/>
          <w:sz w:val="32"/>
          <w:szCs w:val="32"/>
        </w:rPr>
        <w:t>第</w:t>
      </w:r>
      <w:r>
        <w:rPr>
          <w:rFonts w:hint="eastAsia" w:ascii="仿宋_GB2312" w:hAnsi="仿宋_GB2312" w:eastAsia="仿宋_GB2312" w:cs="仿宋_GB2312"/>
          <w:b/>
          <w:bCs/>
          <w:spacing w:val="-5"/>
          <w:sz w:val="32"/>
          <w:szCs w:val="32"/>
          <w:lang w:eastAsia="zh-CN"/>
        </w:rPr>
        <w:t>十</w:t>
      </w:r>
      <w:r>
        <w:rPr>
          <w:rFonts w:hint="eastAsia" w:ascii="仿宋_GB2312" w:hAnsi="仿宋_GB2312" w:cs="仿宋_GB2312"/>
          <w:b/>
          <w:bCs/>
          <w:spacing w:val="-5"/>
          <w:sz w:val="32"/>
          <w:szCs w:val="32"/>
          <w:lang w:val="en-US" w:eastAsia="zh-CN"/>
        </w:rPr>
        <w:t>二</w:t>
      </w:r>
      <w:r>
        <w:rPr>
          <w:rFonts w:hint="eastAsia" w:ascii="仿宋_GB2312" w:hAnsi="仿宋_GB2312" w:eastAsia="仿宋_GB2312" w:cs="仿宋_GB2312"/>
          <w:b/>
          <w:bCs/>
          <w:spacing w:val="-5"/>
          <w:sz w:val="32"/>
          <w:szCs w:val="32"/>
        </w:rPr>
        <w:t>条</w:t>
      </w:r>
      <w:r>
        <w:rPr>
          <w:rFonts w:hint="eastAsia" w:ascii="仿宋_GB2312" w:hAnsi="仿宋_GB2312" w:eastAsia="仿宋_GB2312" w:cs="仿宋_GB2312"/>
          <w:spacing w:val="-5"/>
          <w:sz w:val="32"/>
          <w:szCs w:val="32"/>
        </w:rPr>
        <w:t xml:space="preserve"> </w:t>
      </w:r>
      <w:r>
        <w:rPr>
          <w:rFonts w:hint="eastAsia" w:ascii="仿宋_GB2312" w:hAnsi="仿宋_GB2312" w:eastAsia="仿宋_GB2312" w:cs="仿宋_GB2312"/>
          <w:kern w:val="0"/>
          <w:sz w:val="32"/>
          <w:szCs w:val="32"/>
          <w:lang w:eastAsia="zh-CN"/>
        </w:rPr>
        <w:t>因涉嫌经济或其</w:t>
      </w:r>
      <w:r>
        <w:rPr>
          <w:rFonts w:hint="eastAsia" w:ascii="仿宋_GB2312" w:hAnsi="仿宋_GB2312" w:eastAsia="仿宋_GB2312" w:cs="仿宋_GB2312"/>
          <w:kern w:val="0"/>
          <w:sz w:val="32"/>
          <w:szCs w:val="32"/>
          <w:lang w:val="en-US" w:eastAsia="zh-CN"/>
        </w:rPr>
        <w:t>他</w:t>
      </w:r>
      <w:r>
        <w:rPr>
          <w:rFonts w:hint="eastAsia" w:ascii="仿宋_GB2312" w:hAnsi="仿宋_GB2312" w:eastAsia="仿宋_GB2312" w:cs="仿宋_GB2312"/>
          <w:kern w:val="0"/>
          <w:sz w:val="32"/>
          <w:szCs w:val="32"/>
          <w:lang w:eastAsia="zh-CN"/>
        </w:rPr>
        <w:t>重大问题正在</w:t>
      </w:r>
      <w:r>
        <w:rPr>
          <w:rFonts w:hint="default" w:ascii="Times New Roman" w:hAnsi="Times New Roman" w:eastAsia="仿宋_GB2312" w:cs="Times New Roman"/>
          <w:kern w:val="0"/>
          <w:sz w:val="32"/>
          <w:szCs w:val="32"/>
          <w:lang w:eastAsia="zh-CN"/>
        </w:rPr>
        <w:t>立案审查尚未结案，或被采取强制措施或受刑事处罚期间的，不得申报参加职称评审。受到党纪政务处分的，涉及职称申报的，按相关规定执行。</w:t>
      </w:r>
    </w:p>
    <w:p w14:paraId="004850C2">
      <w:pPr>
        <w:keepNext w:val="0"/>
        <w:keepLines w:val="0"/>
        <w:pageBreakBefore w:val="0"/>
        <w:widowControl w:val="0"/>
        <w:kinsoku/>
        <w:wordWrap/>
        <w:overflowPunct/>
        <w:topLinePunct w:val="0"/>
        <w:autoSpaceDE/>
        <w:autoSpaceDN/>
        <w:bidi w:val="0"/>
        <w:adjustRightInd/>
        <w:snapToGrid/>
        <w:spacing w:beforeAutospacing="0" w:line="600" w:lineRule="exact"/>
        <w:ind w:firstLine="619" w:firstLineChars="0"/>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b/>
          <w:bCs/>
          <w:spacing w:val="3"/>
          <w:sz w:val="32"/>
          <w:szCs w:val="32"/>
        </w:rPr>
        <w:t>第</w:t>
      </w:r>
      <w:r>
        <w:rPr>
          <w:rFonts w:hint="default" w:ascii="Times New Roman" w:hAnsi="Times New Roman" w:eastAsia="仿宋_GB2312" w:cs="Times New Roman"/>
          <w:b/>
          <w:bCs/>
          <w:spacing w:val="3"/>
          <w:sz w:val="32"/>
          <w:szCs w:val="32"/>
          <w:lang w:eastAsia="zh-CN"/>
        </w:rPr>
        <w:t>十</w:t>
      </w:r>
      <w:r>
        <w:rPr>
          <w:rFonts w:hint="eastAsia" w:ascii="Times New Roman" w:hAnsi="Times New Roman" w:cs="Times New Roman"/>
          <w:b/>
          <w:bCs/>
          <w:spacing w:val="3"/>
          <w:sz w:val="32"/>
          <w:szCs w:val="32"/>
          <w:lang w:val="en-US" w:eastAsia="zh-CN"/>
        </w:rPr>
        <w:t>三</w:t>
      </w:r>
      <w:r>
        <w:rPr>
          <w:rFonts w:hint="default" w:ascii="Times New Roman" w:hAnsi="Times New Roman" w:eastAsia="仿宋_GB2312" w:cs="Times New Roman"/>
          <w:b/>
          <w:bCs/>
          <w:spacing w:val="3"/>
          <w:sz w:val="32"/>
          <w:szCs w:val="32"/>
        </w:rPr>
        <w:t>条</w:t>
      </w:r>
      <w:r>
        <w:rPr>
          <w:rFonts w:hint="default" w:ascii="Times New Roman" w:hAnsi="Times New Roman" w:eastAsia="仿宋_GB2312" w:cs="Times New Roman"/>
          <w:spacing w:val="3"/>
          <w:sz w:val="32"/>
          <w:szCs w:val="32"/>
        </w:rPr>
        <w:t xml:space="preserve"> </w:t>
      </w:r>
      <w:r>
        <w:rPr>
          <w:rFonts w:hint="default" w:ascii="Times New Roman" w:hAnsi="Times New Roman" w:eastAsia="仿宋_GB2312" w:cs="Times New Roman"/>
          <w:kern w:val="0"/>
          <w:sz w:val="32"/>
          <w:szCs w:val="32"/>
          <w:lang w:eastAsia="zh-CN"/>
        </w:rPr>
        <w:t>建立追溯追责机制。申报人的《专业技术职称评审表》一份存入个人档案，一份留存评委会组建单位，资料长期保存，作为人力资源基础数据比对信息。今后经核查发现申报人有通过提供虚假材料、剽窃学术成果或通过隐瞒违纪违法行为等其他不正当方式取得职称的，一律撤销其相应职称，据此获得的权益，也一并取消。</w:t>
      </w:r>
    </w:p>
    <w:p w14:paraId="7507BF02">
      <w:pPr>
        <w:keepNext w:val="0"/>
        <w:keepLines w:val="0"/>
        <w:pageBreakBefore w:val="0"/>
        <w:widowControl w:val="0"/>
        <w:tabs>
          <w:tab w:val="left" w:pos="8820"/>
        </w:tabs>
        <w:kinsoku/>
        <w:wordWrap/>
        <w:overflowPunct/>
        <w:topLinePunct w:val="0"/>
        <w:autoSpaceDE/>
        <w:autoSpaceDN/>
        <w:bidi w:val="0"/>
        <w:adjustRightInd/>
        <w:snapToGrid/>
        <w:spacing w:beforeAutospacing="0" w:line="600" w:lineRule="exact"/>
        <w:ind w:right="0" w:rightChars="0" w:firstLine="0" w:firstLineChars="0"/>
        <w:jc w:val="center"/>
        <w:textAlignment w:val="auto"/>
        <w:rPr>
          <w:rFonts w:hint="default" w:ascii="Times New Roman" w:hAnsi="Times New Roman" w:eastAsia="黑体" w:cs="Times New Roman"/>
          <w:bCs/>
          <w:kern w:val="0"/>
          <w:sz w:val="32"/>
          <w:szCs w:val="32"/>
          <w:lang w:eastAsia="zh-CN"/>
        </w:rPr>
      </w:pPr>
      <w:r>
        <w:rPr>
          <w:rFonts w:hint="default" w:ascii="Times New Roman" w:hAnsi="Times New Roman" w:eastAsia="黑体" w:cs="Times New Roman"/>
          <w:bCs/>
          <w:kern w:val="0"/>
          <w:sz w:val="32"/>
          <w:szCs w:val="32"/>
          <w:lang w:val="en-US" w:eastAsia="zh-CN"/>
        </w:rPr>
        <w:t xml:space="preserve">第五章  </w:t>
      </w:r>
      <w:r>
        <w:rPr>
          <w:rFonts w:hint="default" w:ascii="Times New Roman" w:hAnsi="Times New Roman" w:eastAsia="黑体" w:cs="Times New Roman"/>
          <w:bCs/>
          <w:kern w:val="0"/>
          <w:sz w:val="32"/>
          <w:szCs w:val="32"/>
          <w:lang w:eastAsia="zh-CN"/>
        </w:rPr>
        <w:t>附则</w:t>
      </w:r>
    </w:p>
    <w:p w14:paraId="1F86E7FC">
      <w:pPr>
        <w:keepNext w:val="0"/>
        <w:keepLines w:val="0"/>
        <w:pageBreakBefore w:val="0"/>
        <w:widowControl w:val="0"/>
        <w:kinsoku/>
        <w:wordWrap/>
        <w:overflowPunct/>
        <w:topLinePunct w:val="0"/>
        <w:autoSpaceDE/>
        <w:autoSpaceDN/>
        <w:bidi w:val="0"/>
        <w:adjustRightInd/>
        <w:snapToGrid/>
        <w:spacing w:beforeAutospacing="0" w:line="600" w:lineRule="exact"/>
        <w:ind w:firstLine="619" w:firstLineChars="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pacing w:val="-9"/>
          <w:sz w:val="32"/>
          <w:szCs w:val="32"/>
        </w:rPr>
        <w:t>第</w:t>
      </w:r>
      <w:r>
        <w:rPr>
          <w:rFonts w:hint="eastAsia" w:ascii="仿宋_GB2312" w:hAnsi="仿宋_GB2312" w:eastAsia="仿宋_GB2312" w:cs="仿宋_GB2312"/>
          <w:b/>
          <w:bCs/>
          <w:spacing w:val="-9"/>
          <w:sz w:val="32"/>
          <w:szCs w:val="32"/>
          <w:lang w:eastAsia="zh-CN"/>
        </w:rPr>
        <w:t>十</w:t>
      </w:r>
      <w:r>
        <w:rPr>
          <w:rFonts w:hint="eastAsia" w:ascii="仿宋_GB2312" w:hAnsi="仿宋_GB2312" w:cs="仿宋_GB2312"/>
          <w:b/>
          <w:bCs/>
          <w:spacing w:val="-9"/>
          <w:sz w:val="32"/>
          <w:szCs w:val="32"/>
          <w:lang w:val="en-US" w:eastAsia="zh-CN"/>
        </w:rPr>
        <w:t>四</w:t>
      </w:r>
      <w:r>
        <w:rPr>
          <w:rFonts w:hint="eastAsia" w:ascii="仿宋_GB2312" w:hAnsi="仿宋_GB2312" w:eastAsia="仿宋_GB2312" w:cs="仿宋_GB2312"/>
          <w:b/>
          <w:bCs/>
          <w:spacing w:val="-9"/>
          <w:sz w:val="32"/>
          <w:szCs w:val="32"/>
        </w:rPr>
        <w:t>条</w:t>
      </w:r>
      <w:r>
        <w:rPr>
          <w:rFonts w:hint="eastAsia" w:ascii="仿宋_GB2312" w:hAnsi="仿宋_GB2312" w:eastAsia="仿宋_GB2312" w:cs="仿宋_GB2312"/>
          <w:spacing w:val="-9"/>
          <w:sz w:val="32"/>
          <w:szCs w:val="32"/>
        </w:rPr>
        <w:t xml:space="preserve"> </w:t>
      </w:r>
      <w:r>
        <w:rPr>
          <w:rFonts w:hint="eastAsia" w:ascii="仿宋_GB2312" w:hAnsi="仿宋_GB2312" w:eastAsia="仿宋_GB2312" w:cs="仿宋_GB2312"/>
          <w:kern w:val="0"/>
          <w:sz w:val="32"/>
          <w:szCs w:val="32"/>
          <w:lang w:val="en-US" w:eastAsia="zh-CN"/>
        </w:rPr>
        <w:t>本办法中有关词（语）或概念的特定解释</w:t>
      </w:r>
    </w:p>
    <w:p w14:paraId="560A1049">
      <w:pPr>
        <w:keepNext w:val="0"/>
        <w:keepLines w:val="0"/>
        <w:pageBreakBefore w:val="0"/>
        <w:widowControl w:val="0"/>
        <w:kinsoku/>
        <w:wordWrap/>
        <w:overflowPunct/>
        <w:topLinePunct w:val="0"/>
        <w:autoSpaceDE/>
        <w:autoSpaceDN/>
        <w:bidi w:val="0"/>
        <w:adjustRightInd/>
        <w:snapToGrid/>
        <w:spacing w:beforeAutospacing="0" w:line="600" w:lineRule="exact"/>
        <w:ind w:firstLine="619" w:firstLineChars="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主持”是指项目负责人，排名第1；“专业负责”是指某部分（专业）工作的技术负责人；“主要参加”是指在项目中承担主要工作、关键性工作，排名前5；“参与”是指在项目中承担次要工作或一般性工作，或配合开展工作。</w:t>
      </w:r>
    </w:p>
    <w:p w14:paraId="78E2513D">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2.“省(部)级研究项目”指省级科技主管部门或国家行业主管部门下达的科技计划研究项目。“市(厅)级研究项目”指设区市科技主管部门或省级行业主管部门下达的科技计划研究项目。</w:t>
      </w:r>
    </w:p>
    <w:p w14:paraId="336936FA">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3.“公开发行的学术刊物”指取得出版刊号(国内要求为CN或ISSN刊物)的专业学术期刊。</w:t>
      </w:r>
    </w:p>
    <w:p w14:paraId="6A4511FC">
      <w:pPr>
        <w:keepNext w:val="0"/>
        <w:keepLines w:val="0"/>
        <w:pageBreakBefore w:val="0"/>
        <w:widowControl w:val="0"/>
        <w:kinsoku/>
        <w:wordWrap/>
        <w:overflowPunct/>
        <w:topLinePunct w:val="0"/>
        <w:autoSpaceDE/>
        <w:autoSpaceDN/>
        <w:bidi w:val="0"/>
        <w:spacing w:beforeAutospacing="0" w:line="600" w:lineRule="exact"/>
        <w:ind w:firstLine="619"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lang w:eastAsia="zh-CN"/>
        </w:rPr>
        <w:t>本办法中的著作，指取得ISBN统一书号和CIP数据核字号的学术专著或译著，</w:t>
      </w:r>
      <w:r>
        <w:rPr>
          <w:rFonts w:hint="eastAsia" w:ascii="仿宋_GB2312" w:hAnsi="仿宋_GB2312" w:eastAsia="仿宋_GB2312" w:cs="仿宋_GB2312"/>
          <w:kern w:val="0"/>
          <w:sz w:val="32"/>
          <w:szCs w:val="32"/>
          <w:lang w:val="en-US" w:eastAsia="zh-CN"/>
        </w:rPr>
        <w:t>公开出版发行</w:t>
      </w:r>
      <w:r>
        <w:rPr>
          <w:rFonts w:hint="eastAsia" w:ascii="仿宋_GB2312" w:hAnsi="仿宋_GB2312" w:eastAsia="仿宋_GB2312" w:cs="仿宋_GB2312"/>
          <w:kern w:val="0"/>
          <w:sz w:val="32"/>
          <w:szCs w:val="32"/>
          <w:lang w:eastAsia="zh-CN"/>
        </w:rPr>
        <w:t>。</w:t>
      </w:r>
    </w:p>
    <w:p w14:paraId="51085FAB">
      <w:pPr>
        <w:keepNext w:val="0"/>
        <w:keepLines w:val="0"/>
        <w:pageBreakBefore w:val="0"/>
        <w:widowControl w:val="0"/>
        <w:kinsoku/>
        <w:wordWrap/>
        <w:overflowPunct/>
        <w:topLinePunct w:val="0"/>
        <w:autoSpaceDE/>
        <w:autoSpaceDN/>
        <w:bidi w:val="0"/>
        <w:spacing w:beforeAutospacing="0" w:line="600" w:lineRule="exact"/>
        <w:ind w:firstLine="619" w:firstLineChars="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lang w:eastAsia="zh-CN"/>
        </w:rPr>
        <w:t>本办法中所称“以上”含本级或本数量。如：“合格以上”含合格，“2年以上”含2年。</w:t>
      </w:r>
    </w:p>
    <w:p w14:paraId="1FA55C86">
      <w:pPr>
        <w:keepNext w:val="0"/>
        <w:keepLines w:val="0"/>
        <w:pageBreakBefore w:val="0"/>
        <w:widowControl w:val="0"/>
        <w:tabs>
          <w:tab w:val="left" w:pos="8820"/>
        </w:tabs>
        <w:kinsoku/>
        <w:wordWrap/>
        <w:overflowPunct/>
        <w:topLinePunct w:val="0"/>
        <w:autoSpaceDE/>
        <w:autoSpaceDN/>
        <w:bidi w:val="0"/>
        <w:spacing w:beforeAutospacing="0" w:line="600" w:lineRule="exact"/>
        <w:ind w:right="35" w:rightChars="11" w:firstLine="610" w:firstLineChars="196"/>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b/>
          <w:bCs/>
          <w:spacing w:val="-5"/>
          <w:sz w:val="32"/>
          <w:szCs w:val="32"/>
        </w:rPr>
        <w:t>第</w:t>
      </w:r>
      <w:r>
        <w:rPr>
          <w:rFonts w:hint="eastAsia" w:ascii="仿宋_GB2312" w:hAnsi="仿宋_GB2312" w:eastAsia="仿宋_GB2312" w:cs="仿宋_GB2312"/>
          <w:b/>
          <w:bCs/>
          <w:spacing w:val="-5"/>
          <w:sz w:val="32"/>
          <w:szCs w:val="32"/>
          <w:lang w:eastAsia="zh-CN"/>
        </w:rPr>
        <w:t>十</w:t>
      </w:r>
      <w:r>
        <w:rPr>
          <w:rFonts w:hint="eastAsia" w:ascii="仿宋_GB2312" w:hAnsi="仿宋_GB2312" w:cs="仿宋_GB2312"/>
          <w:b/>
          <w:bCs/>
          <w:spacing w:val="-5"/>
          <w:sz w:val="32"/>
          <w:szCs w:val="32"/>
          <w:lang w:val="en-US" w:eastAsia="zh-CN"/>
        </w:rPr>
        <w:t>五</w:t>
      </w:r>
      <w:r>
        <w:rPr>
          <w:rFonts w:hint="eastAsia" w:ascii="仿宋_GB2312" w:hAnsi="仿宋_GB2312" w:eastAsia="仿宋_GB2312" w:cs="仿宋_GB2312"/>
          <w:b/>
          <w:bCs/>
          <w:spacing w:val="-5"/>
          <w:sz w:val="32"/>
          <w:szCs w:val="32"/>
        </w:rPr>
        <w:t>条</w:t>
      </w:r>
      <w:r>
        <w:rPr>
          <w:rFonts w:hint="eastAsia" w:ascii="仿宋_GB2312" w:hAnsi="仿宋_GB2312" w:eastAsia="仿宋_GB2312" w:cs="仿宋_GB2312"/>
          <w:spacing w:val="-5"/>
          <w:sz w:val="32"/>
          <w:szCs w:val="32"/>
          <w:lang w:val="en-US" w:eastAsia="zh-CN"/>
        </w:rPr>
        <w:t xml:space="preserve"> </w:t>
      </w:r>
      <w:r>
        <w:rPr>
          <w:rFonts w:hint="eastAsia" w:ascii="仿宋_GB2312" w:hAnsi="仿宋_GB2312" w:eastAsia="仿宋_GB2312" w:cs="仿宋_GB2312"/>
          <w:kern w:val="0"/>
          <w:sz w:val="32"/>
          <w:szCs w:val="32"/>
          <w:lang w:eastAsia="zh-CN"/>
        </w:rPr>
        <w:t>申报业绩和成果计算时间为任现职以来至接收申报材料之日止，任职年限截至申报参评年度12月31日。</w:t>
      </w:r>
    </w:p>
    <w:p w14:paraId="3A77DDBC">
      <w:pPr>
        <w:keepNext w:val="0"/>
        <w:keepLines w:val="0"/>
        <w:pageBreakBefore w:val="0"/>
        <w:widowControl w:val="0"/>
        <w:kinsoku/>
        <w:wordWrap/>
        <w:topLinePunct w:val="0"/>
        <w:bidi w:val="0"/>
        <w:snapToGrid w:val="0"/>
        <w:spacing w:line="600" w:lineRule="exact"/>
        <w:jc w:val="left"/>
        <w:rPr>
          <w:rFonts w:hint="default" w:ascii="Times New Roman" w:hAnsi="Times New Roman" w:eastAsia="仿宋_GB2312" w:cs="Times New Roman"/>
          <w:kern w:val="2"/>
          <w:sz w:val="32"/>
          <w:szCs w:val="32"/>
          <w:lang w:val="en-US" w:eastAsia="zh-CN" w:bidi="ar-SA"/>
        </w:rPr>
      </w:pPr>
    </w:p>
    <w:p w14:paraId="3E3FBC45"/>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1CD597"/>
    <w:multiLevelType w:val="singleLevel"/>
    <w:tmpl w:val="4E1CD59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927877"/>
    <w:rsid w:val="08D42411"/>
    <w:rsid w:val="0C2E656A"/>
    <w:rsid w:val="226970A9"/>
    <w:rsid w:val="23202356"/>
    <w:rsid w:val="37D77124"/>
    <w:rsid w:val="479F7254"/>
    <w:rsid w:val="48A20AB8"/>
    <w:rsid w:val="4FC060DF"/>
    <w:rsid w:val="5053533A"/>
    <w:rsid w:val="5DD14B4A"/>
    <w:rsid w:val="6E9313EA"/>
    <w:rsid w:val="7BE56B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3" w:firstLineChars="200"/>
      <w:jc w:val="both"/>
    </w:pPr>
    <w:rPr>
      <w:rFonts w:ascii="Calibri" w:hAnsi="Calibri" w:eastAsia="仿宋_GB2312" w:cs="宋体"/>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index 5"/>
    <w:next w:val="1"/>
    <w:qFormat/>
    <w:uiPriority w:val="0"/>
    <w:pPr>
      <w:widowControl w:val="0"/>
      <w:ind w:left="800" w:leftChars="8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5787</Words>
  <Characters>5917</Characters>
  <Lines>0</Lines>
  <Paragraphs>0</Paragraphs>
  <TotalTime>14</TotalTime>
  <ScaleCrop>false</ScaleCrop>
  <LinksUpToDate>false</LinksUpToDate>
  <CharactersWithSpaces>5942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2026-09-29T09:14:00Z</dcterms:created>
  <dc:creator>Administrator</dc:creator>
  <cp:lastModifiedBy>M-in</cp:lastModifiedBy>
  <cp:lastPrinted>2026-10-19T07:27:00Z</cp:lastPrinted>
  <dcterms:modified xsi:type="dcterms:W3CDTF">2026-10-21T06:05:23Z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eyJoZGlkIjoiYjIxOWM3MGFjMWQ5NzZlODFlNjVkMmM1NmJiNTY3MzAiLCJ1c2VySWQiOiIyNzQxMzE1NDgifQ==</vt:lpwstr>
  </property>
  <property fmtid="{D5CDD505-2E9C-101B-9397-08002B2CF9AE}" pid="4" name="ICV">
    <vt:lpwstr>F8397AE99F534B6FB7E0C9C3ADA2352D_12</vt:lpwstr>
  </property>
</Properties>
</file>